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CC1C6" w14:textId="059F0BCA" w:rsidR="00275E60" w:rsidRPr="009C66B4" w:rsidRDefault="009C66B4" w:rsidP="00A538F0">
      <w:pPr>
        <w:pStyle w:val="StandardWeb"/>
        <w:snapToGrid w:val="0"/>
        <w:spacing w:before="80" w:beforeAutospacing="0" w:after="80"/>
        <w:jc w:val="center"/>
        <w:rPr>
          <w:rFonts w:ascii="Arial" w:hAnsi="Arial" w:cs="Arial"/>
          <w:b/>
          <w:bCs/>
        </w:rPr>
      </w:pPr>
      <w:r w:rsidRPr="009C66B4">
        <w:rPr>
          <w:rFonts w:ascii="Arial" w:hAnsi="Arial" w:cs="Arial"/>
          <w:b/>
          <w:bCs/>
        </w:rPr>
        <w:t>Rheuma erkennen und therapieren:</w:t>
      </w:r>
    </w:p>
    <w:p w14:paraId="76E54F02" w14:textId="220949B1" w:rsidR="0064633A" w:rsidRPr="00EA0FA5" w:rsidRDefault="0064633A" w:rsidP="00966DBB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In den letzten 30 Jahren gab es in der Diagnostik, aber vor allem im Bereich der Therapie rheumatischer Erkrankungen bahnbrechende Veränderungen und Entwicklungen.</w:t>
      </w:r>
    </w:p>
    <w:p w14:paraId="7A9A8E05" w14:textId="77777777" w:rsidR="0064633A" w:rsidRPr="00EA0FA5" w:rsidRDefault="0064633A" w:rsidP="0064633A">
      <w:pPr>
        <w:pStyle w:val="ZLB1"/>
      </w:pPr>
      <w:r w:rsidRPr="00EA0FA5">
        <w:t>Rheumatoide Arthritis</w:t>
      </w:r>
    </w:p>
    <w:p w14:paraId="16475832" w14:textId="0A2AFE36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Die rheumatoide Arthritis ist eine chronisch progredient verlaufende systemische Autoimmunerkrankung, bei der es zu destruierenden Veränderungen der Gelenke kommen kann.</w:t>
      </w:r>
    </w:p>
    <w:p w14:paraId="001B211D" w14:textId="16367029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Die </w:t>
      </w:r>
      <w:r w:rsidRPr="00F06EE4">
        <w:rPr>
          <w:rFonts w:ascii="Arial" w:hAnsi="Arial" w:cs="Arial"/>
          <w:b/>
          <w:bCs/>
        </w:rPr>
        <w:t>Prävalenz</w:t>
      </w:r>
      <w:r w:rsidRPr="00EA0FA5">
        <w:rPr>
          <w:rFonts w:ascii="Arial" w:hAnsi="Arial" w:cs="Arial"/>
        </w:rPr>
        <w:t xml:space="preserve"> liegt Studien zwischen 0,3 und 1,0 </w:t>
      </w:r>
      <w:r w:rsidR="006A194E" w:rsidRPr="00EA0FA5">
        <w:rPr>
          <w:rFonts w:ascii="Arial" w:hAnsi="Arial" w:cs="Arial"/>
        </w:rPr>
        <w:t>%</w:t>
      </w:r>
      <w:r w:rsidR="006A194E">
        <w:rPr>
          <w:rFonts w:ascii="Arial" w:hAnsi="Arial" w:cs="Arial"/>
        </w:rPr>
        <w:t>;</w:t>
      </w:r>
      <w:r w:rsidR="00031286">
        <w:rPr>
          <w:rFonts w:ascii="Arial" w:hAnsi="Arial" w:cs="Arial"/>
        </w:rPr>
        <w:t xml:space="preserve"> die </w:t>
      </w:r>
      <w:r w:rsidRPr="00F06EE4">
        <w:rPr>
          <w:rFonts w:ascii="Arial" w:hAnsi="Arial" w:cs="Arial"/>
          <w:b/>
          <w:bCs/>
        </w:rPr>
        <w:t>Ursache</w:t>
      </w:r>
      <w:r w:rsidRPr="00EA0FA5">
        <w:rPr>
          <w:rFonts w:ascii="Arial" w:hAnsi="Arial" w:cs="Arial"/>
        </w:rPr>
        <w:t xml:space="preserve"> ist bis jetzt nicht restlos geklärt</w:t>
      </w:r>
      <w:r>
        <w:rPr>
          <w:rFonts w:ascii="Arial" w:hAnsi="Arial" w:cs="Arial"/>
        </w:rPr>
        <w:t>. E</w:t>
      </w:r>
      <w:r w:rsidRPr="00EA0FA5">
        <w:rPr>
          <w:rFonts w:ascii="Arial" w:hAnsi="Arial" w:cs="Arial"/>
        </w:rPr>
        <w:t>s werden genetische Faktore</w:t>
      </w:r>
      <w:r>
        <w:rPr>
          <w:rFonts w:ascii="Arial" w:hAnsi="Arial" w:cs="Arial"/>
        </w:rPr>
        <w:t xml:space="preserve">n, </w:t>
      </w:r>
      <w:r w:rsidRPr="00EA0FA5">
        <w:rPr>
          <w:rFonts w:ascii="Arial" w:hAnsi="Arial" w:cs="Arial"/>
        </w:rPr>
        <w:t>die für den Schweregrad der Erkrankung verantwortlich sein dürften</w:t>
      </w:r>
      <w:r>
        <w:rPr>
          <w:rFonts w:ascii="Arial" w:hAnsi="Arial" w:cs="Arial"/>
        </w:rPr>
        <w:t>,</w:t>
      </w:r>
      <w:r w:rsidRPr="00EA0FA5">
        <w:rPr>
          <w:rFonts w:ascii="Arial" w:hAnsi="Arial" w:cs="Arial"/>
        </w:rPr>
        <w:t xml:space="preserve"> Umweltfaktoren</w:t>
      </w:r>
      <w:r w:rsidR="0090241C">
        <w:rPr>
          <w:rFonts w:ascii="Arial" w:hAnsi="Arial" w:cs="Arial"/>
        </w:rPr>
        <w:t xml:space="preserve"> (</w:t>
      </w:r>
      <w:r w:rsidR="0090241C" w:rsidRPr="00EA0FA5">
        <w:rPr>
          <w:rFonts w:ascii="Arial" w:hAnsi="Arial" w:cs="Arial"/>
        </w:rPr>
        <w:t>Einfluss des Rauchens bzw. toxischer Substanzen</w:t>
      </w:r>
      <w:r w:rsidR="0090241C">
        <w:rPr>
          <w:rFonts w:ascii="Arial" w:hAnsi="Arial" w:cs="Arial"/>
        </w:rPr>
        <w:t>)</w:t>
      </w:r>
      <w:r w:rsidRPr="00EA0FA5">
        <w:rPr>
          <w:rFonts w:ascii="Arial" w:hAnsi="Arial" w:cs="Arial"/>
        </w:rPr>
        <w:t xml:space="preserve"> und Infektionen diskutiert. In Studien wurde auch ein Zusammenhang zwischen entzündlichen Veränderungen der Mundschleimhaut (</w:t>
      </w:r>
      <w:proofErr w:type="spellStart"/>
      <w:r w:rsidRPr="00EA0FA5">
        <w:rPr>
          <w:rFonts w:ascii="Arial" w:hAnsi="Arial" w:cs="Arial"/>
        </w:rPr>
        <w:t>Peridontitis</w:t>
      </w:r>
      <w:proofErr w:type="spellEnd"/>
      <w:r w:rsidRPr="00EA0FA5">
        <w:rPr>
          <w:rFonts w:ascii="Arial" w:hAnsi="Arial" w:cs="Arial"/>
        </w:rPr>
        <w:t>), des Gastrointestinaltraktes und der Entstehung bzw. des Verlaufes von chronisch entzündlichen Reaktionen nachgewiesen.</w:t>
      </w:r>
    </w:p>
    <w:p w14:paraId="35C13EDE" w14:textId="7BF1E177" w:rsidR="00BA47C1" w:rsidRPr="00EA0FA5" w:rsidRDefault="00A22D51" w:rsidP="00A22D51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Die </w:t>
      </w:r>
      <w:r w:rsidRPr="004B5661">
        <w:rPr>
          <w:rFonts w:ascii="Arial" w:hAnsi="Arial" w:cs="Arial"/>
          <w:b/>
          <w:bCs/>
        </w:rPr>
        <w:t>Entzündungsaktivität beeinflusst entscheidend den gesamten Krankheitsverlauf</w:t>
      </w:r>
      <w:r w:rsidRPr="00EA0FA5">
        <w:rPr>
          <w:rFonts w:ascii="Arial" w:hAnsi="Arial" w:cs="Arial"/>
        </w:rPr>
        <w:t xml:space="preserve"> </w:t>
      </w:r>
      <w:r w:rsidRPr="004B5661">
        <w:rPr>
          <w:rFonts w:ascii="Arial" w:hAnsi="Arial" w:cs="Arial"/>
          <w:b/>
          <w:bCs/>
        </w:rPr>
        <w:t>und die Prognose der Erkrankung</w:t>
      </w:r>
      <w:r w:rsidRPr="00EA0FA5">
        <w:rPr>
          <w:rFonts w:ascii="Arial" w:hAnsi="Arial" w:cs="Arial"/>
        </w:rPr>
        <w:t xml:space="preserve"> und ist damit sowohl für Beeinträchtigung bzw. Erhalt körperlicher Funktionen als auch die Entwicklung von Komorbiditäten und Mortalität verantwortlich</w:t>
      </w:r>
    </w:p>
    <w:p w14:paraId="0D42EE05" w14:textId="77777777" w:rsidR="0064633A" w:rsidRPr="00EA0FA5" w:rsidRDefault="0064633A" w:rsidP="0064633A">
      <w:pPr>
        <w:pStyle w:val="ZLB2"/>
      </w:pPr>
      <w:r w:rsidRPr="00EA0FA5">
        <w:t>Therapieoptionen</w:t>
      </w:r>
    </w:p>
    <w:p w14:paraId="5BB1FDBF" w14:textId="77777777" w:rsidR="0064633A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4B5661">
        <w:rPr>
          <w:rFonts w:ascii="Arial" w:hAnsi="Arial" w:cs="Arial"/>
          <w:b/>
          <w:bCs/>
        </w:rPr>
        <w:t xml:space="preserve">Konventionelle krankheitsmodifizierende antirheumatische Medikamente </w:t>
      </w:r>
      <w:r w:rsidRPr="00EA0FA5">
        <w:rPr>
          <w:rFonts w:ascii="Arial" w:hAnsi="Arial" w:cs="Arial"/>
        </w:rPr>
        <w:t>(</w:t>
      </w:r>
      <w:proofErr w:type="spellStart"/>
      <w:r w:rsidRPr="00EA0FA5">
        <w:rPr>
          <w:rFonts w:ascii="Arial" w:hAnsi="Arial" w:cs="Arial"/>
        </w:rPr>
        <w:t>csDMARDS</w:t>
      </w:r>
      <w:proofErr w:type="spellEnd"/>
      <w:r w:rsidRPr="00EA0FA5">
        <w:rPr>
          <w:rFonts w:ascii="Arial" w:hAnsi="Arial" w:cs="Arial"/>
        </w:rPr>
        <w:t>)</w:t>
      </w:r>
    </w:p>
    <w:p w14:paraId="4CCD03E9" w14:textId="68DF23DA" w:rsidR="0064633A" w:rsidRPr="00A4313C" w:rsidRDefault="0064633A" w:rsidP="0053747F">
      <w:pPr>
        <w:pStyle w:val="ZLBAufzhlung1"/>
      </w:pPr>
      <w:r w:rsidRPr="00EA0FA5">
        <w:t xml:space="preserve">Die initiale medikamentöse Behandlungsstrategie setzt sich aus nicht steroidalen Antirheumatika und/oder Kortikosteroiden zusammen. Zeitgleich wird eine </w:t>
      </w:r>
      <w:proofErr w:type="spellStart"/>
      <w:r w:rsidRPr="00EA0FA5">
        <w:t>csDMARDS</w:t>
      </w:r>
      <w:proofErr w:type="spellEnd"/>
      <w:r w:rsidRPr="00EA0FA5">
        <w:t xml:space="preserve"> Therapie </w:t>
      </w:r>
      <w:r w:rsidR="0053747F" w:rsidRPr="00EA0FA5">
        <w:t>etabliert</w:t>
      </w:r>
      <w:r w:rsidR="0053747F">
        <w:t>,</w:t>
      </w:r>
      <w:r w:rsidR="0053747F">
        <w:rPr>
          <w:rFonts w:ascii="Arial" w:hAnsi="Arial" w:cs="Arial"/>
        </w:rPr>
        <w:t xml:space="preserve"> </w:t>
      </w:r>
      <w:r w:rsidR="0053747F" w:rsidRPr="0053747F">
        <w:rPr>
          <w:rFonts w:ascii="Arial" w:hAnsi="Arial" w:cs="Arial"/>
        </w:rPr>
        <w:t>als</w:t>
      </w:r>
      <w:r w:rsidRPr="0053747F">
        <w:rPr>
          <w:rFonts w:ascii="Arial" w:hAnsi="Arial" w:cs="Arial"/>
        </w:rPr>
        <w:t xml:space="preserve"> Gold-Standardtherapie fungiert Methotrexat.</w:t>
      </w:r>
    </w:p>
    <w:p w14:paraId="701BE96B" w14:textId="77777777" w:rsidR="0064633A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  <w:b/>
          <w:bCs/>
        </w:rPr>
      </w:pPr>
      <w:r w:rsidRPr="004B5661">
        <w:rPr>
          <w:rFonts w:ascii="Arial" w:hAnsi="Arial" w:cs="Arial"/>
          <w:b/>
          <w:bCs/>
        </w:rPr>
        <w:t>Biologische krankheitsmodifizierende antirheumatische Medikamente (</w:t>
      </w:r>
      <w:proofErr w:type="spellStart"/>
      <w:r w:rsidRPr="004B5661">
        <w:rPr>
          <w:rFonts w:ascii="Arial" w:hAnsi="Arial" w:cs="Arial"/>
          <w:b/>
          <w:bCs/>
        </w:rPr>
        <w:t>bDMARDS</w:t>
      </w:r>
      <w:proofErr w:type="spellEnd"/>
      <w:r w:rsidRPr="004B5661">
        <w:rPr>
          <w:rFonts w:ascii="Arial" w:hAnsi="Arial" w:cs="Arial"/>
          <w:b/>
          <w:bCs/>
        </w:rPr>
        <w:t>)</w:t>
      </w:r>
    </w:p>
    <w:p w14:paraId="79D69DA9" w14:textId="77777777" w:rsidR="0064633A" w:rsidRPr="00A4313C" w:rsidRDefault="0064633A" w:rsidP="0064633A">
      <w:pPr>
        <w:pStyle w:val="ZLBAufzhlung1"/>
        <w:rPr>
          <w:rFonts w:cs="Tahoma"/>
        </w:rPr>
      </w:pPr>
      <w:r w:rsidRPr="00A4313C">
        <w:rPr>
          <w:rFonts w:cs="Tahoma"/>
        </w:rPr>
        <w:t xml:space="preserve">Zum jetzigen Zeitpunkt sind insgesamt 5 Tumornekrosefaktor-Inhibitoren etabliert: Adalimumab, </w:t>
      </w:r>
      <w:proofErr w:type="spellStart"/>
      <w:r w:rsidRPr="00A4313C">
        <w:rPr>
          <w:rFonts w:cs="Tahoma"/>
        </w:rPr>
        <w:t>Etanercept</w:t>
      </w:r>
      <w:proofErr w:type="spellEnd"/>
      <w:r w:rsidRPr="00A4313C">
        <w:rPr>
          <w:rFonts w:cs="Tahoma"/>
        </w:rPr>
        <w:t xml:space="preserve">, Infliximab, </w:t>
      </w:r>
      <w:proofErr w:type="spellStart"/>
      <w:r w:rsidRPr="00A4313C">
        <w:rPr>
          <w:rFonts w:cs="Tahoma"/>
        </w:rPr>
        <w:t>Certolizumab</w:t>
      </w:r>
      <w:proofErr w:type="spellEnd"/>
      <w:r w:rsidRPr="00A4313C">
        <w:rPr>
          <w:rFonts w:cs="Tahoma"/>
        </w:rPr>
        <w:t xml:space="preserve">, </w:t>
      </w:r>
      <w:proofErr w:type="spellStart"/>
      <w:r w:rsidRPr="00A4313C">
        <w:rPr>
          <w:rFonts w:cs="Tahoma"/>
        </w:rPr>
        <w:t>Golimumab</w:t>
      </w:r>
      <w:proofErr w:type="spellEnd"/>
      <w:r w:rsidRPr="00A4313C">
        <w:rPr>
          <w:rFonts w:cs="Tahoma"/>
        </w:rPr>
        <w:t>.</w:t>
      </w:r>
    </w:p>
    <w:p w14:paraId="396B5CE6" w14:textId="77777777" w:rsidR="0064633A" w:rsidRPr="00A4313C" w:rsidRDefault="0064633A" w:rsidP="0064633A">
      <w:pPr>
        <w:pStyle w:val="ZLBAufzhlung1"/>
        <w:numPr>
          <w:ilvl w:val="0"/>
          <w:numId w:val="4"/>
        </w:numPr>
        <w:ind w:left="357" w:hanging="357"/>
        <w:rPr>
          <w:rFonts w:cs="Tahoma"/>
        </w:rPr>
      </w:pPr>
      <w:r w:rsidRPr="00A4313C">
        <w:rPr>
          <w:rFonts w:cs="Tahoma"/>
        </w:rPr>
        <w:t>Neben dem schwach wirksamen Interleukin 1 Rezeptorantagonisten (</w:t>
      </w:r>
      <w:proofErr w:type="spellStart"/>
      <w:r w:rsidRPr="00A4313C">
        <w:rPr>
          <w:rFonts w:cs="Tahoma"/>
        </w:rPr>
        <w:t>Anakinra</w:t>
      </w:r>
      <w:proofErr w:type="spellEnd"/>
      <w:r w:rsidRPr="00A4313C">
        <w:rPr>
          <w:rFonts w:cs="Tahoma"/>
        </w:rPr>
        <w:t xml:space="preserve">), stehen 2 weitere Interleukin -Therapien (IL- 6 Rezeptorblocker </w:t>
      </w:r>
      <w:proofErr w:type="spellStart"/>
      <w:r w:rsidRPr="00A4313C">
        <w:rPr>
          <w:rFonts w:cs="Tahoma"/>
        </w:rPr>
        <w:t>Tocilizumab</w:t>
      </w:r>
      <w:proofErr w:type="spellEnd"/>
      <w:r w:rsidRPr="00A4313C">
        <w:rPr>
          <w:rFonts w:cs="Tahoma"/>
        </w:rPr>
        <w:t xml:space="preserve"> und Sarilumab) zur Verfügung.</w:t>
      </w:r>
    </w:p>
    <w:p w14:paraId="66D7AACF" w14:textId="77777777" w:rsidR="0064633A" w:rsidRPr="00A4313C" w:rsidRDefault="0064633A" w:rsidP="0064633A">
      <w:pPr>
        <w:pStyle w:val="ZLBAufzhlung1"/>
        <w:rPr>
          <w:rFonts w:cs="Tahoma"/>
        </w:rPr>
      </w:pPr>
      <w:r w:rsidRPr="00A4313C">
        <w:rPr>
          <w:rFonts w:cs="Tahoma"/>
        </w:rPr>
        <w:t>Ebenso steht ein Co-Stimulationsblocker (</w:t>
      </w:r>
      <w:proofErr w:type="spellStart"/>
      <w:r w:rsidRPr="00A4313C">
        <w:rPr>
          <w:rFonts w:cs="Tahoma"/>
        </w:rPr>
        <w:t>Abatacept</w:t>
      </w:r>
      <w:proofErr w:type="spellEnd"/>
      <w:r w:rsidRPr="00A4313C">
        <w:rPr>
          <w:rFonts w:cs="Tahoma"/>
        </w:rPr>
        <w:t>) und bei Therapieversagen Rituximab (Anti CD20, B-Zellen) zur Verfügung.</w:t>
      </w:r>
    </w:p>
    <w:p w14:paraId="7AC0BD6F" w14:textId="77777777" w:rsidR="0064633A" w:rsidRPr="004B5661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  <w:b/>
          <w:bCs/>
        </w:rPr>
      </w:pPr>
      <w:r w:rsidRPr="004B5661">
        <w:rPr>
          <w:rFonts w:ascii="Arial" w:hAnsi="Arial" w:cs="Arial"/>
          <w:b/>
          <w:bCs/>
        </w:rPr>
        <w:t>Zielgerichtete synthetische krankheitsmodifizierende antirheumatische Medikamente (</w:t>
      </w:r>
      <w:proofErr w:type="spellStart"/>
      <w:r w:rsidRPr="004B5661">
        <w:rPr>
          <w:rFonts w:ascii="Arial" w:hAnsi="Arial" w:cs="Arial"/>
          <w:b/>
          <w:bCs/>
        </w:rPr>
        <w:t>tsDMARDS</w:t>
      </w:r>
      <w:proofErr w:type="spellEnd"/>
      <w:r w:rsidRPr="004B5661">
        <w:rPr>
          <w:rFonts w:ascii="Arial" w:hAnsi="Arial" w:cs="Arial"/>
          <w:b/>
          <w:bCs/>
        </w:rPr>
        <w:t>)</w:t>
      </w:r>
    </w:p>
    <w:p w14:paraId="4F303D4A" w14:textId="518E4F69" w:rsidR="0064633A" w:rsidRDefault="0064633A" w:rsidP="0064633A">
      <w:pPr>
        <w:pStyle w:val="ZLBAufzhlung1"/>
      </w:pPr>
      <w:r w:rsidRPr="00EA0FA5">
        <w:t>Zu den neuesten therapeutischen Entwicklungen zählen die sogenannten Januskinase-Inhibitoren</w:t>
      </w:r>
      <w:r>
        <w:t xml:space="preserve">: </w:t>
      </w:r>
      <w:proofErr w:type="spellStart"/>
      <w:r w:rsidRPr="00EA0FA5">
        <w:t>Tofacitinib</w:t>
      </w:r>
      <w:proofErr w:type="spellEnd"/>
      <w:r w:rsidRPr="00EA0FA5">
        <w:t xml:space="preserve">, Baricitinib, </w:t>
      </w:r>
      <w:proofErr w:type="spellStart"/>
      <w:r w:rsidRPr="00EA0FA5">
        <w:t>Upadacitinib</w:t>
      </w:r>
      <w:proofErr w:type="spellEnd"/>
      <w:r w:rsidRPr="00EA0FA5">
        <w:t xml:space="preserve">, und </w:t>
      </w:r>
      <w:proofErr w:type="spellStart"/>
      <w:r w:rsidRPr="00EA0FA5">
        <w:t>Filgotinib</w:t>
      </w:r>
      <w:proofErr w:type="spellEnd"/>
      <w:r w:rsidRPr="00EA0FA5">
        <w:t>.</w:t>
      </w:r>
    </w:p>
    <w:p w14:paraId="2278FFEA" w14:textId="77777777" w:rsidR="009E696E" w:rsidRPr="00EA0FA5" w:rsidRDefault="009E696E" w:rsidP="00A538F0">
      <w:pPr>
        <w:pStyle w:val="ZLBAufzhlung1"/>
        <w:numPr>
          <w:ilvl w:val="0"/>
          <w:numId w:val="0"/>
        </w:numPr>
      </w:pPr>
      <w:r w:rsidRPr="00EA0FA5">
        <w:t>Die Behandlungsschritte sind in den Nationalen als auch Internationalen Therapie- Guidelines (EULAR/ACR</w:t>
      </w:r>
      <w:r>
        <w:rPr>
          <w:rStyle w:val="Funotenzeichen"/>
          <w:rFonts w:ascii="Arial" w:hAnsi="Arial" w:cs="Arial"/>
        </w:rPr>
        <w:footnoteReference w:id="1"/>
      </w:r>
      <w:r w:rsidRPr="00EA0FA5">
        <w:t>) definiert.</w:t>
      </w:r>
    </w:p>
    <w:p w14:paraId="3CDA5C7A" w14:textId="77777777" w:rsidR="0064633A" w:rsidRPr="00A4313C" w:rsidRDefault="0064633A" w:rsidP="0064633A">
      <w:pPr>
        <w:pStyle w:val="ZLB1"/>
      </w:pPr>
      <w:r w:rsidRPr="00EA0FA5">
        <w:t>Psoriasis Arthritis</w:t>
      </w:r>
    </w:p>
    <w:p w14:paraId="35878FAC" w14:textId="464C42DC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Die Psoriasis</w:t>
      </w:r>
      <w:r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>Arthritis ist eine chronisch entzündliche Erkrankung des</w:t>
      </w:r>
      <w:r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>Bewegungsapparates, die mit einer starken Assoziation zur Psoriasis vergesellschaftet ist.</w:t>
      </w:r>
      <w:r w:rsidR="0010053C"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>Zusätzlich liegt häufig ein Nagelbefall vor.</w:t>
      </w:r>
    </w:p>
    <w:p w14:paraId="7E658588" w14:textId="77777777" w:rsidR="0064633A" w:rsidRDefault="0064633A" w:rsidP="0064633A">
      <w:pPr>
        <w:pStyle w:val="ZLB2"/>
      </w:pPr>
      <w:r>
        <w:lastRenderedPageBreak/>
        <w:t>Krankheitsverlauf</w:t>
      </w:r>
    </w:p>
    <w:p w14:paraId="5F4A1669" w14:textId="42745620" w:rsidR="0064633A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Der </w:t>
      </w:r>
      <w:r w:rsidRPr="00A4313C">
        <w:rPr>
          <w:rFonts w:ascii="Arial" w:hAnsi="Arial" w:cs="Arial"/>
          <w:b/>
          <w:bCs/>
        </w:rPr>
        <w:t>Großteil der Betroffenen</w:t>
      </w:r>
      <w:r w:rsidRPr="00EA0FA5">
        <w:rPr>
          <w:rFonts w:ascii="Arial" w:hAnsi="Arial" w:cs="Arial"/>
        </w:rPr>
        <w:t xml:space="preserve"> einer Psoriasis Arthritis leidet an einer asymmetrischen, schmerzhaften Schwellung von ein bis vier Gelenken (Oligoarthritis). Bevorzugt erkranken einzelne Finger- oder Zehengelenke. Eine typische Manifestation dieser Verlaufsform ist die </w:t>
      </w:r>
      <w:proofErr w:type="gramStart"/>
      <w:r w:rsidRPr="00EA0FA5">
        <w:rPr>
          <w:rFonts w:ascii="Arial" w:hAnsi="Arial" w:cs="Arial"/>
        </w:rPr>
        <w:t>Daktylitis</w:t>
      </w:r>
      <w:proofErr w:type="gramEnd"/>
      <w:r w:rsidRPr="00EA0FA5">
        <w:rPr>
          <w:rFonts w:ascii="Arial" w:hAnsi="Arial" w:cs="Arial"/>
        </w:rPr>
        <w:t xml:space="preserve"> d.h. eine Schwellung nicht nur einzelner Gelenke, sondern eines ganzen Fingers („Wurstfinger“) oder einer ganzen Zehe („Wurstzehe“)</w:t>
      </w:r>
      <w:r w:rsidRPr="00EA0FA5">
        <w:rPr>
          <w:rFonts w:ascii="Arial" w:hAnsi="Arial" w:cs="Arial"/>
          <w:color w:val="0000FF"/>
        </w:rPr>
        <w:t xml:space="preserve">. </w:t>
      </w:r>
      <w:r w:rsidRPr="00EA0FA5">
        <w:rPr>
          <w:rFonts w:ascii="Arial" w:hAnsi="Arial" w:cs="Arial"/>
        </w:rPr>
        <w:t xml:space="preserve">Hierbei ist neben dem Endgelenk auch Mittel- und Grundgelenk eines Strahls betroffen, gleichzeitig liegt eine Tenosynovialitis der </w:t>
      </w:r>
      <w:proofErr w:type="spellStart"/>
      <w:r w:rsidRPr="00EA0FA5">
        <w:rPr>
          <w:rFonts w:ascii="Arial" w:hAnsi="Arial" w:cs="Arial"/>
        </w:rPr>
        <w:t>Flexorensehnenscheiden</w:t>
      </w:r>
      <w:proofErr w:type="spellEnd"/>
      <w:r w:rsidRPr="00EA0FA5">
        <w:rPr>
          <w:rFonts w:ascii="Arial" w:hAnsi="Arial" w:cs="Arial"/>
        </w:rPr>
        <w:t xml:space="preserve"> vor.</w:t>
      </w:r>
    </w:p>
    <w:p w14:paraId="763F85B4" w14:textId="0418D349" w:rsidR="00E45387" w:rsidRPr="00EA0FA5" w:rsidRDefault="00BC1E4B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3991C6E" wp14:editId="6AADA7EC">
            <wp:simplePos x="0" y="0"/>
            <wp:positionH relativeFrom="column">
              <wp:posOffset>3665855</wp:posOffset>
            </wp:positionH>
            <wp:positionV relativeFrom="page">
              <wp:posOffset>2566035</wp:posOffset>
            </wp:positionV>
            <wp:extent cx="1339850" cy="995045"/>
            <wp:effectExtent l="0" t="0" r="69850" b="7175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387" w:rsidRPr="00E45387">
        <w:rPr>
          <w:rFonts w:ascii="Arial" w:hAnsi="Arial" w:cs="Arial"/>
        </w:rPr>
        <w:drawing>
          <wp:inline distT="0" distB="0" distL="0" distR="0" wp14:anchorId="347BBB2D" wp14:editId="3C00F476">
            <wp:extent cx="1263650" cy="1054797"/>
            <wp:effectExtent l="0" t="0" r="0" b="0"/>
            <wp:docPr id="70659" name="Picture 3" descr="Turnebner Franz   li Hand, Psor">
              <a:extLst xmlns:a="http://schemas.openxmlformats.org/drawingml/2006/main">
                <a:ext uri="{FF2B5EF4-FFF2-40B4-BE49-F238E27FC236}">
                  <a16:creationId xmlns:a16="http://schemas.microsoft.com/office/drawing/2014/main" id="{2CA21E39-53C1-47A4-8AB1-ACAB918DEB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" name="Picture 3" descr="Turnebner Franz   li Hand, Psor">
                      <a:extLst>
                        <a:ext uri="{FF2B5EF4-FFF2-40B4-BE49-F238E27FC236}">
                          <a16:creationId xmlns:a16="http://schemas.microsoft.com/office/drawing/2014/main" id="{2CA21E39-53C1-47A4-8AB1-ACAB918DEB6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861" cy="106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04C">
        <w:rPr>
          <w:noProof/>
        </w:rPr>
        <w:drawing>
          <wp:inline distT="0" distB="0" distL="0" distR="0" wp14:anchorId="732CF396" wp14:editId="40E7BF37">
            <wp:extent cx="975360" cy="104912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512" cy="106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EB6">
        <w:rPr>
          <w:noProof/>
        </w:rPr>
        <w:drawing>
          <wp:inline distT="0" distB="0" distL="0" distR="0" wp14:anchorId="40F32B85" wp14:editId="0592658C">
            <wp:extent cx="1428750" cy="107156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48220" cy="10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FAD0" w14:textId="3C234F07" w:rsidR="0064633A" w:rsidRPr="00C637E9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A4313C">
        <w:rPr>
          <w:rFonts w:ascii="Arial" w:hAnsi="Arial" w:cs="Arial"/>
          <w:b/>
          <w:bCs/>
        </w:rPr>
        <w:t>Selten</w:t>
      </w:r>
      <w:r w:rsidRPr="00EA0FA5">
        <w:rPr>
          <w:rFonts w:ascii="Arial" w:hAnsi="Arial" w:cs="Arial"/>
        </w:rPr>
        <w:t xml:space="preserve"> kommt es zu einem schweren Verlauf, mit ausgeprägter Zerstörung der betroffenen Gelenke (Arthritis </w:t>
      </w:r>
      <w:proofErr w:type="spellStart"/>
      <w:r w:rsidRPr="00EA0FA5">
        <w:rPr>
          <w:rFonts w:ascii="Arial" w:hAnsi="Arial" w:cs="Arial"/>
        </w:rPr>
        <w:t>mutilans</w:t>
      </w:r>
      <w:proofErr w:type="spellEnd"/>
      <w:r w:rsidRPr="00EA0FA5">
        <w:rPr>
          <w:rFonts w:ascii="Arial" w:hAnsi="Arial" w:cs="Arial"/>
        </w:rPr>
        <w:t xml:space="preserve">). Hier kann es zu einer Verkürzung und einem "Einschrumpfen" der Finger kommen ("Teleskop-Finger"). Schwere Verkrüppelung und Behinderung sind die </w:t>
      </w:r>
      <w:proofErr w:type="spellStart"/>
      <w:r w:rsidRPr="00EA0FA5">
        <w:rPr>
          <w:rFonts w:ascii="Arial" w:hAnsi="Arial" w:cs="Arial"/>
        </w:rPr>
        <w:t>Folge.Die</w:t>
      </w:r>
      <w:proofErr w:type="spellEnd"/>
      <w:r w:rsidRPr="00EA0FA5">
        <w:rPr>
          <w:rFonts w:ascii="Arial" w:hAnsi="Arial" w:cs="Arial"/>
        </w:rPr>
        <w:t xml:space="preserve"> Manifestation an Sehnenansätzen, Bandansätzen und Kapselansätzen ist </w:t>
      </w:r>
      <w:r w:rsidRPr="000F2E1D">
        <w:rPr>
          <w:rFonts w:ascii="Arial" w:hAnsi="Arial" w:cs="Arial"/>
          <w:b/>
          <w:bCs/>
        </w:rPr>
        <w:t>typisch für die Psoriasis- Arthritis</w:t>
      </w:r>
      <w:r w:rsidRPr="00EA0FA5">
        <w:rPr>
          <w:rFonts w:ascii="Arial" w:hAnsi="Arial" w:cs="Arial"/>
        </w:rPr>
        <w:t xml:space="preserve"> und wird als </w:t>
      </w:r>
      <w:proofErr w:type="spellStart"/>
      <w:r w:rsidRPr="00EA0FA5">
        <w:rPr>
          <w:rFonts w:ascii="Arial" w:hAnsi="Arial" w:cs="Arial"/>
        </w:rPr>
        <w:t>Enthesiopathie</w:t>
      </w:r>
      <w:proofErr w:type="spellEnd"/>
      <w:r w:rsidRPr="00EA0FA5">
        <w:rPr>
          <w:rFonts w:ascii="Arial" w:hAnsi="Arial" w:cs="Arial"/>
        </w:rPr>
        <w:t xml:space="preserve"> bezeichnet (gr</w:t>
      </w:r>
      <w:r>
        <w:rPr>
          <w:rFonts w:ascii="Arial" w:hAnsi="Arial" w:cs="Arial"/>
        </w:rPr>
        <w:t>iechisch</w:t>
      </w:r>
      <w:r w:rsidRPr="00EA0FA5">
        <w:rPr>
          <w:rFonts w:ascii="Arial" w:hAnsi="Arial" w:cs="Arial"/>
        </w:rPr>
        <w:t xml:space="preserve"> </w:t>
      </w:r>
      <w:proofErr w:type="spellStart"/>
      <w:r w:rsidRPr="00EA0FA5">
        <w:rPr>
          <w:rFonts w:ascii="Arial" w:hAnsi="Arial" w:cs="Arial"/>
        </w:rPr>
        <w:t>Enthesis</w:t>
      </w:r>
      <w:proofErr w:type="spellEnd"/>
      <w:r w:rsidRPr="00EA0FA5">
        <w:rPr>
          <w:rFonts w:ascii="Arial" w:hAnsi="Arial" w:cs="Arial"/>
        </w:rPr>
        <w:t xml:space="preserve"> = Ansatzpunkt)</w:t>
      </w:r>
    </w:p>
    <w:p w14:paraId="3DBEFE71" w14:textId="77777777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Neben den typischen Veränderungen am Bewegungsapparat können auch </w:t>
      </w:r>
      <w:r w:rsidRPr="000F2E1D">
        <w:rPr>
          <w:rFonts w:ascii="Arial" w:hAnsi="Arial" w:cs="Arial"/>
          <w:b/>
          <w:bCs/>
        </w:rPr>
        <w:t>extraartikuläre Manifestationen</w:t>
      </w:r>
      <w:r w:rsidRPr="00EA0FA5">
        <w:rPr>
          <w:rFonts w:ascii="Arial" w:hAnsi="Arial" w:cs="Arial"/>
        </w:rPr>
        <w:t xml:space="preserve"> bestehen.</w:t>
      </w:r>
    </w:p>
    <w:p w14:paraId="5BD938C7" w14:textId="57B405CF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Neben Nagelveränderungen (</w:t>
      </w:r>
      <w:proofErr w:type="spellStart"/>
      <w:r w:rsidRPr="00EA0FA5">
        <w:rPr>
          <w:rFonts w:ascii="Arial" w:hAnsi="Arial" w:cs="Arial"/>
        </w:rPr>
        <w:t>Ölnägel</w:t>
      </w:r>
      <w:proofErr w:type="spellEnd"/>
      <w:r w:rsidRPr="00EA0FA5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 xml:space="preserve">oder </w:t>
      </w:r>
      <w:r w:rsidRPr="00EA0FA5">
        <w:rPr>
          <w:rFonts w:ascii="Arial" w:hAnsi="Arial" w:cs="Arial"/>
        </w:rPr>
        <w:t xml:space="preserve">Tüpfelnägel oder </w:t>
      </w:r>
      <w:r>
        <w:rPr>
          <w:rFonts w:ascii="Arial" w:hAnsi="Arial" w:cs="Arial"/>
        </w:rPr>
        <w:t>Ablösen eines Nagels (</w:t>
      </w:r>
      <w:proofErr w:type="spellStart"/>
      <w:r w:rsidRPr="00EA0FA5">
        <w:rPr>
          <w:rFonts w:ascii="Arial" w:hAnsi="Arial" w:cs="Arial"/>
        </w:rPr>
        <w:t>Onycholyse</w:t>
      </w:r>
      <w:proofErr w:type="spellEnd"/>
      <w:r>
        <w:rPr>
          <w:rFonts w:ascii="Arial" w:hAnsi="Arial" w:cs="Arial"/>
        </w:rPr>
        <w:t>)</w:t>
      </w:r>
      <w:r w:rsidRPr="00EA0FA5">
        <w:rPr>
          <w:rFonts w:ascii="Arial" w:hAnsi="Arial" w:cs="Arial"/>
        </w:rPr>
        <w:t xml:space="preserve">, können Augenveränderungen, aber auch viszerale Manifestationen (selten Amyloidosen oder Myositis) auftreten. </w:t>
      </w:r>
    </w:p>
    <w:p w14:paraId="6E7DEDC8" w14:textId="2EEB3D71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0F2E1D">
        <w:rPr>
          <w:rFonts w:ascii="Arial" w:hAnsi="Arial" w:cs="Arial"/>
          <w:b/>
          <w:bCs/>
        </w:rPr>
        <w:t xml:space="preserve">Komorbiditäten </w:t>
      </w:r>
      <w:r w:rsidRPr="00EA0FA5">
        <w:rPr>
          <w:rFonts w:ascii="Arial" w:hAnsi="Arial" w:cs="Arial"/>
        </w:rPr>
        <w:t xml:space="preserve">wie chronisch entzündliche Darmerkrankung (CED), </w:t>
      </w:r>
      <w:proofErr w:type="spellStart"/>
      <w:r w:rsidRPr="00EA0FA5">
        <w:rPr>
          <w:rFonts w:ascii="Arial" w:hAnsi="Arial" w:cs="Arial"/>
        </w:rPr>
        <w:t>Uveitis</w:t>
      </w:r>
      <w:proofErr w:type="spellEnd"/>
      <w:r w:rsidRPr="00EA0FA5">
        <w:rPr>
          <w:rFonts w:ascii="Arial" w:hAnsi="Arial" w:cs="Arial"/>
        </w:rPr>
        <w:t xml:space="preserve"> </w:t>
      </w:r>
      <w:r w:rsidR="00771CD7">
        <w:rPr>
          <w:rFonts w:ascii="Arial" w:hAnsi="Arial" w:cs="Arial"/>
        </w:rPr>
        <w:t xml:space="preserve">sind </w:t>
      </w:r>
      <w:r w:rsidRPr="00EA0FA5">
        <w:rPr>
          <w:rFonts w:ascii="Arial" w:hAnsi="Arial" w:cs="Arial"/>
        </w:rPr>
        <w:t>nicht selten.</w:t>
      </w:r>
    </w:p>
    <w:p w14:paraId="7017F48F" w14:textId="77777777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Therapieempfehlungen erfolgen nach den sogenannten EULAR</w:t>
      </w:r>
      <w:r>
        <w:rPr>
          <w:rStyle w:val="Funotenzeichen"/>
          <w:rFonts w:ascii="Arial" w:hAnsi="Arial" w:cs="Arial"/>
        </w:rPr>
        <w:footnoteReference w:id="2"/>
      </w:r>
      <w:r w:rsidRPr="00EA0FA5">
        <w:rPr>
          <w:rFonts w:ascii="Arial" w:hAnsi="Arial" w:cs="Arial"/>
        </w:rPr>
        <w:t xml:space="preserve"> oder GRAPPA</w:t>
      </w:r>
      <w:r>
        <w:rPr>
          <w:rStyle w:val="Funotenzeichen"/>
          <w:rFonts w:ascii="Arial" w:hAnsi="Arial" w:cs="Arial"/>
        </w:rPr>
        <w:footnoteReference w:id="3"/>
      </w:r>
      <w:r w:rsidRPr="00EA0FA5">
        <w:rPr>
          <w:rFonts w:ascii="Arial" w:hAnsi="Arial" w:cs="Arial"/>
        </w:rPr>
        <w:t xml:space="preserve"> Kriterien.</w:t>
      </w:r>
    </w:p>
    <w:p w14:paraId="3AFFE6E8" w14:textId="66C1F7B9" w:rsidR="003427D4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Im Gegensatz zur rheumatoiden Arthritis wird der T</w:t>
      </w:r>
      <w:r w:rsidRPr="005F3E5A">
        <w:rPr>
          <w:rFonts w:ascii="Arial" w:hAnsi="Arial" w:cs="Arial"/>
          <w:b/>
          <w:bCs/>
        </w:rPr>
        <w:t>herapieerfolg</w:t>
      </w:r>
      <w:r w:rsidRPr="00EA0FA5">
        <w:rPr>
          <w:rFonts w:ascii="Arial" w:hAnsi="Arial" w:cs="Arial"/>
        </w:rPr>
        <w:t xml:space="preserve"> nicht nur am Bewegungsapparat gemessen, sondern es werden auch </w:t>
      </w:r>
      <w:r w:rsidRPr="005F3E5A">
        <w:rPr>
          <w:rFonts w:ascii="Arial" w:hAnsi="Arial" w:cs="Arial"/>
          <w:b/>
          <w:bCs/>
        </w:rPr>
        <w:t>extra-skelettale Veränderungen</w:t>
      </w:r>
      <w:r>
        <w:rPr>
          <w:rFonts w:ascii="Arial" w:hAnsi="Arial" w:cs="Arial"/>
        </w:rPr>
        <w:t xml:space="preserve"> – </w:t>
      </w:r>
      <w:r w:rsidRPr="00EA0FA5">
        <w:rPr>
          <w:rFonts w:ascii="Arial" w:hAnsi="Arial" w:cs="Arial"/>
        </w:rPr>
        <w:t>Verbesserungen des Haut</w:t>
      </w:r>
      <w:r w:rsidR="003427D4"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>-Nagel- und Sehnenansatzbefalles</w:t>
      </w:r>
      <w:r>
        <w:rPr>
          <w:rFonts w:ascii="Arial" w:hAnsi="Arial" w:cs="Arial"/>
        </w:rPr>
        <w:t xml:space="preserve"> – </w:t>
      </w:r>
      <w:r w:rsidRPr="00EA0FA5">
        <w:rPr>
          <w:rFonts w:ascii="Arial" w:hAnsi="Arial" w:cs="Arial"/>
        </w:rPr>
        <w:t>herangezogen.</w:t>
      </w:r>
    </w:p>
    <w:p w14:paraId="4F82436F" w14:textId="77777777" w:rsidR="0064633A" w:rsidRPr="00EA0FA5" w:rsidRDefault="0064633A" w:rsidP="0064633A">
      <w:pPr>
        <w:pStyle w:val="ZLB2"/>
      </w:pPr>
      <w:r w:rsidRPr="00EA0FA5">
        <w:t xml:space="preserve">Therapeutisches </w:t>
      </w:r>
      <w:proofErr w:type="spellStart"/>
      <w:r w:rsidRPr="00EA0FA5">
        <w:t>Armamentarium</w:t>
      </w:r>
      <w:proofErr w:type="spellEnd"/>
    </w:p>
    <w:p w14:paraId="4DEAE1B5" w14:textId="757C0BC6" w:rsidR="0064633A" w:rsidRPr="008E48C5" w:rsidRDefault="0064633A" w:rsidP="008E48C5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Neben nicht </w:t>
      </w:r>
      <w:r w:rsidRPr="009016AA">
        <w:rPr>
          <w:rFonts w:ascii="Arial" w:hAnsi="Arial" w:cs="Arial"/>
          <w:b/>
          <w:bCs/>
        </w:rPr>
        <w:t>steroidaler Antirheumatika</w:t>
      </w:r>
      <w:r w:rsidRPr="00EA0FA5">
        <w:rPr>
          <w:rFonts w:ascii="Arial" w:hAnsi="Arial" w:cs="Arial"/>
        </w:rPr>
        <w:t xml:space="preserve"> und/oder </w:t>
      </w:r>
      <w:r w:rsidRPr="009016AA">
        <w:rPr>
          <w:rFonts w:ascii="Arial" w:hAnsi="Arial" w:cs="Arial"/>
          <w:b/>
          <w:bCs/>
        </w:rPr>
        <w:t>Kortikosteroiden</w:t>
      </w:r>
      <w:r w:rsidRPr="00EA0FA5">
        <w:rPr>
          <w:rFonts w:ascii="Arial" w:hAnsi="Arial" w:cs="Arial"/>
        </w:rPr>
        <w:t xml:space="preserve"> ist eine </w:t>
      </w:r>
      <w:r w:rsidRPr="009016AA">
        <w:rPr>
          <w:rFonts w:ascii="Arial" w:hAnsi="Arial" w:cs="Arial"/>
          <w:b/>
          <w:bCs/>
        </w:rPr>
        <w:t>systemische Therapie</w:t>
      </w:r>
      <w:r w:rsidRPr="00EA0FA5">
        <w:rPr>
          <w:rFonts w:ascii="Arial" w:hAnsi="Arial" w:cs="Arial"/>
        </w:rPr>
        <w:t xml:space="preserve"> mit zuerst </w:t>
      </w:r>
      <w:proofErr w:type="spellStart"/>
      <w:r w:rsidRPr="00EA0FA5">
        <w:rPr>
          <w:rFonts w:ascii="Arial" w:hAnsi="Arial" w:cs="Arial"/>
        </w:rPr>
        <w:t>csDMARDS</w:t>
      </w:r>
      <w:proofErr w:type="spellEnd"/>
      <w:r w:rsidRPr="00EA0FA5">
        <w:rPr>
          <w:rFonts w:ascii="Arial" w:hAnsi="Arial" w:cs="Arial"/>
        </w:rPr>
        <w:t xml:space="preserve">, dann bei Notwendigkeit auch </w:t>
      </w:r>
      <w:proofErr w:type="spellStart"/>
      <w:r w:rsidRPr="00EA0FA5">
        <w:rPr>
          <w:rFonts w:ascii="Arial" w:hAnsi="Arial" w:cs="Arial"/>
        </w:rPr>
        <w:t>bDMARDs</w:t>
      </w:r>
      <w:proofErr w:type="spellEnd"/>
      <w:r w:rsidRPr="00EA0FA5">
        <w:rPr>
          <w:rFonts w:ascii="Arial" w:hAnsi="Arial" w:cs="Arial"/>
        </w:rPr>
        <w:t xml:space="preserve"> zur Standardtherapie geworden. </w:t>
      </w:r>
    </w:p>
    <w:p w14:paraId="46E1AE6D" w14:textId="0D290EC7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proofErr w:type="gramStart"/>
      <w:r w:rsidRPr="00EA0FA5">
        <w:rPr>
          <w:rFonts w:ascii="Arial" w:hAnsi="Arial" w:cs="Arial"/>
        </w:rPr>
        <w:t xml:space="preserve">Neben den </w:t>
      </w:r>
      <w:r w:rsidRPr="006139B6">
        <w:rPr>
          <w:rFonts w:ascii="Arial" w:hAnsi="Arial" w:cs="Arial"/>
          <w:b/>
          <w:bCs/>
        </w:rPr>
        <w:t>biologische krankheitsmodifizierenden</w:t>
      </w:r>
      <w:r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>Therapien</w:t>
      </w:r>
      <w:proofErr w:type="gramEnd"/>
      <w:r w:rsidRPr="00EA0FA5">
        <w:rPr>
          <w:rFonts w:ascii="Arial" w:hAnsi="Arial" w:cs="Arial"/>
        </w:rPr>
        <w:t>, wie Interleukin 17 Inhibitoren-</w:t>
      </w:r>
      <w:proofErr w:type="spellStart"/>
      <w:r w:rsidRPr="00EA0FA5">
        <w:rPr>
          <w:rFonts w:ascii="Arial" w:hAnsi="Arial" w:cs="Arial"/>
        </w:rPr>
        <w:t>Secukinumab</w:t>
      </w:r>
      <w:proofErr w:type="spellEnd"/>
      <w:r w:rsidRPr="00EA0FA5">
        <w:rPr>
          <w:rFonts w:ascii="Arial" w:hAnsi="Arial" w:cs="Arial"/>
        </w:rPr>
        <w:t xml:space="preserve"> bzw. </w:t>
      </w:r>
      <w:proofErr w:type="spellStart"/>
      <w:r w:rsidRPr="00EA0FA5">
        <w:rPr>
          <w:rFonts w:ascii="Arial" w:hAnsi="Arial" w:cs="Arial"/>
        </w:rPr>
        <w:t>Ixekizumab</w:t>
      </w:r>
      <w:proofErr w:type="spellEnd"/>
      <w:r w:rsidR="00BC5FD2">
        <w:rPr>
          <w:rFonts w:ascii="Arial" w:hAnsi="Arial" w:cs="Arial"/>
        </w:rPr>
        <w:t xml:space="preserve"> und </w:t>
      </w:r>
      <w:proofErr w:type="spellStart"/>
      <w:r w:rsidR="00BC5FD2" w:rsidRPr="00BC5FD2">
        <w:rPr>
          <w:rFonts w:ascii="Arial" w:hAnsi="Arial" w:cs="Arial"/>
        </w:rPr>
        <w:t>Brodalumab</w:t>
      </w:r>
      <w:proofErr w:type="spellEnd"/>
      <w:r w:rsidRPr="00EA0FA5">
        <w:rPr>
          <w:rFonts w:ascii="Arial" w:hAnsi="Arial" w:cs="Arial"/>
        </w:rPr>
        <w:t xml:space="preserve">, kommt auch </w:t>
      </w:r>
      <w:proofErr w:type="spellStart"/>
      <w:r w:rsidRPr="00EA0FA5">
        <w:rPr>
          <w:rFonts w:ascii="Arial" w:hAnsi="Arial" w:cs="Arial"/>
        </w:rPr>
        <w:t>Ustekinumab</w:t>
      </w:r>
      <w:proofErr w:type="spellEnd"/>
      <w:r w:rsidRPr="00EA0FA5">
        <w:rPr>
          <w:rFonts w:ascii="Arial" w:hAnsi="Arial" w:cs="Arial"/>
        </w:rPr>
        <w:t xml:space="preserve"> (Interleukin 12 /23 Inhibitor) zur Anwendung.</w:t>
      </w:r>
    </w:p>
    <w:p w14:paraId="3FE36ED6" w14:textId="77777777" w:rsidR="002C6761" w:rsidRDefault="0064633A" w:rsidP="00294886">
      <w:pPr>
        <w:pStyle w:val="ZLB1"/>
      </w:pPr>
      <w:r w:rsidRPr="00EA0FA5">
        <w:t>Komorbiditäten in der Rheumatologie</w:t>
      </w:r>
      <w:r w:rsidR="004D601B">
        <w:t>:</w:t>
      </w:r>
      <w:r w:rsidR="00294886">
        <w:t xml:space="preserve"> </w:t>
      </w:r>
    </w:p>
    <w:p w14:paraId="77807D15" w14:textId="34E7E907" w:rsidR="0064633A" w:rsidRDefault="0064633A" w:rsidP="00294886">
      <w:pPr>
        <w:pStyle w:val="ZLB1"/>
      </w:pPr>
      <w:r w:rsidRPr="004D601B">
        <w:rPr>
          <w:sz w:val="22"/>
          <w:szCs w:val="22"/>
        </w:rPr>
        <w:lastRenderedPageBreak/>
        <w:t xml:space="preserve">Kardiovaskuläre </w:t>
      </w:r>
      <w:proofErr w:type="gramStart"/>
      <w:r w:rsidRPr="004D601B">
        <w:rPr>
          <w:sz w:val="22"/>
          <w:szCs w:val="22"/>
        </w:rPr>
        <w:t>Mitbeteiligung</w:t>
      </w:r>
      <w:proofErr w:type="gramEnd"/>
    </w:p>
    <w:p w14:paraId="641886A4" w14:textId="77777777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Bei Patienten mit einer rheumatoiden Arthritis, aber auch bei Patienten mit einer Spondylarthritis oder Psoriasis</w:t>
      </w:r>
      <w:r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 xml:space="preserve">Arthritis ist das </w:t>
      </w:r>
      <w:r w:rsidRPr="00A44D13">
        <w:rPr>
          <w:rFonts w:ascii="Arial" w:hAnsi="Arial" w:cs="Arial"/>
          <w:b/>
          <w:bCs/>
        </w:rPr>
        <w:t>kardiovaskuläre Risiko</w:t>
      </w:r>
      <w:r w:rsidRPr="00EA0FA5">
        <w:rPr>
          <w:rFonts w:ascii="Arial" w:hAnsi="Arial" w:cs="Arial"/>
        </w:rPr>
        <w:t xml:space="preserve"> im Vergleich zu Gesunden um etwa das </w:t>
      </w:r>
      <w:r w:rsidRPr="00A44D13">
        <w:rPr>
          <w:rFonts w:ascii="Arial" w:hAnsi="Arial" w:cs="Arial"/>
          <w:b/>
          <w:bCs/>
        </w:rPr>
        <w:t>1,5-fache erhöht</w:t>
      </w:r>
      <w:r w:rsidRPr="00EA0FA5">
        <w:rPr>
          <w:rFonts w:ascii="Arial" w:hAnsi="Arial" w:cs="Arial"/>
        </w:rPr>
        <w:t>.</w:t>
      </w:r>
    </w:p>
    <w:p w14:paraId="1BF21E1E" w14:textId="77777777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Bereits zum Zeitpunkt der Diagnose liegt eine </w:t>
      </w:r>
      <w:r w:rsidRPr="00A44D13">
        <w:rPr>
          <w:rFonts w:ascii="Arial" w:hAnsi="Arial" w:cs="Arial"/>
          <w:b/>
          <w:bCs/>
        </w:rPr>
        <w:t>subklinische Atherosklerose</w:t>
      </w:r>
      <w:r w:rsidRPr="00EA0FA5">
        <w:rPr>
          <w:rFonts w:ascii="Arial" w:hAnsi="Arial" w:cs="Arial"/>
        </w:rPr>
        <w:t xml:space="preserve"> vor.</w:t>
      </w:r>
      <w:r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 xml:space="preserve">Als unabhängiger Risikofaktor liegt hier </w:t>
      </w:r>
      <w:r>
        <w:rPr>
          <w:rFonts w:ascii="Arial" w:hAnsi="Arial" w:cs="Arial"/>
        </w:rPr>
        <w:t>eine</w:t>
      </w:r>
      <w:r w:rsidRPr="00EA0FA5">
        <w:rPr>
          <w:rFonts w:ascii="Arial" w:hAnsi="Arial" w:cs="Arial"/>
        </w:rPr>
        <w:t xml:space="preserve"> </w:t>
      </w:r>
      <w:r w:rsidRPr="00A44D13">
        <w:rPr>
          <w:rFonts w:ascii="Arial" w:hAnsi="Arial" w:cs="Arial"/>
          <w:b/>
          <w:bCs/>
        </w:rPr>
        <w:t>Entzündung per se</w:t>
      </w:r>
      <w:r w:rsidRPr="00EA0FA5">
        <w:rPr>
          <w:rFonts w:ascii="Arial" w:hAnsi="Arial" w:cs="Arial"/>
        </w:rPr>
        <w:t xml:space="preserve"> vor, die für die atherosklerotischen Veränderungen selbst verantwortlich ist.</w:t>
      </w:r>
    </w:p>
    <w:p w14:paraId="327A24E3" w14:textId="77777777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Das Risiko, einen </w:t>
      </w:r>
      <w:r w:rsidRPr="00A44D13">
        <w:rPr>
          <w:rFonts w:ascii="Arial" w:hAnsi="Arial" w:cs="Arial"/>
          <w:b/>
          <w:bCs/>
        </w:rPr>
        <w:t>tödlichen Myokardinfarkt</w:t>
      </w:r>
      <w:r w:rsidRPr="00EA0FA5">
        <w:rPr>
          <w:rFonts w:ascii="Arial" w:hAnsi="Arial" w:cs="Arial"/>
        </w:rPr>
        <w:t xml:space="preserve"> zu erleiden, ist um das 1</w:t>
      </w:r>
      <w:r>
        <w:rPr>
          <w:rFonts w:ascii="Arial" w:hAnsi="Arial" w:cs="Arial"/>
        </w:rPr>
        <w:t>,5-</w:t>
      </w:r>
      <w:r w:rsidRPr="00EA0FA5">
        <w:rPr>
          <w:rFonts w:ascii="Arial" w:hAnsi="Arial" w:cs="Arial"/>
        </w:rPr>
        <w:t xml:space="preserve"> bis 2,5</w:t>
      </w:r>
      <w:r>
        <w:rPr>
          <w:rFonts w:ascii="Arial" w:hAnsi="Arial" w:cs="Arial"/>
        </w:rPr>
        <w:t>-</w:t>
      </w:r>
      <w:r w:rsidRPr="00EA0FA5">
        <w:rPr>
          <w:rFonts w:ascii="Arial" w:hAnsi="Arial" w:cs="Arial"/>
        </w:rPr>
        <w:t>fache erhöht</w:t>
      </w:r>
      <w:r>
        <w:rPr>
          <w:rFonts w:ascii="Arial" w:hAnsi="Arial" w:cs="Arial"/>
        </w:rPr>
        <w:t xml:space="preserve">. Das Risiko </w:t>
      </w:r>
      <w:r w:rsidRPr="00EA0FA5">
        <w:rPr>
          <w:rFonts w:ascii="Arial" w:hAnsi="Arial" w:cs="Arial"/>
        </w:rPr>
        <w:t xml:space="preserve">einer </w:t>
      </w:r>
      <w:r w:rsidRPr="00A44D13">
        <w:rPr>
          <w:rFonts w:ascii="Arial" w:hAnsi="Arial" w:cs="Arial"/>
          <w:b/>
          <w:bCs/>
        </w:rPr>
        <w:t>Herzinsuffizienz</w:t>
      </w:r>
      <w:r w:rsidRPr="00EA0F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auf das zwei-fache erhöht. </w:t>
      </w:r>
    </w:p>
    <w:p w14:paraId="12E5F6F4" w14:textId="337B1C6F" w:rsidR="0064633A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A44D13">
        <w:rPr>
          <w:rFonts w:ascii="Arial" w:hAnsi="Arial" w:cs="Arial"/>
          <w:b/>
          <w:bCs/>
        </w:rPr>
        <w:t>Klassische kardiovaskuläre Erkrankungen</w:t>
      </w:r>
      <w:r w:rsidRPr="00EA0FA5">
        <w:rPr>
          <w:rFonts w:ascii="Arial" w:hAnsi="Arial" w:cs="Arial"/>
        </w:rPr>
        <w:t xml:space="preserve"> treten bei Patienten mit rheumatoider Arthritis signifikant häufiger auf als in der Normalbevölkerung: dazu zählen erhöhter Blutdruck, Arteriosklerose, koronare Herzkrankheit, Schlaganfall, und thromboembolische Ereignisse.</w:t>
      </w:r>
    </w:p>
    <w:p w14:paraId="446F8E18" w14:textId="663EDE84" w:rsidR="00D43B0C" w:rsidRPr="005C1313" w:rsidRDefault="00D43B0C" w:rsidP="0064633A">
      <w:pPr>
        <w:pStyle w:val="StandardWeb"/>
        <w:snapToGrid w:val="0"/>
        <w:spacing w:before="80" w:beforeAutospacing="0" w:after="80"/>
        <w:rPr>
          <w:rFonts w:ascii="Arial" w:hAnsi="Arial" w:cs="Arial"/>
          <w:b/>
          <w:bCs/>
          <w:i/>
          <w:iCs/>
          <w:u w:val="single"/>
        </w:rPr>
      </w:pPr>
      <w:r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>Deshalb ist es besonders wichtig</w:t>
      </w:r>
      <w:r w:rsidR="00E16D9F"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 xml:space="preserve">, einerseits die </w:t>
      </w:r>
      <w:r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 xml:space="preserve">Krankheitsaktivität der RA </w:t>
      </w:r>
      <w:r w:rsidR="00E16D9F"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 xml:space="preserve">aber auch die zusätzlichen </w:t>
      </w:r>
      <w:r w:rsidR="004C56C0"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>Herz-Kreislauf-</w:t>
      </w:r>
      <w:r w:rsidR="00E16D9F"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 xml:space="preserve"> Erkrankungen </w:t>
      </w:r>
      <w:r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 xml:space="preserve">so </w:t>
      </w:r>
      <w:r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 xml:space="preserve">optimal </w:t>
      </w:r>
      <w:r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>als möglich zu behandeln</w:t>
      </w:r>
      <w:r w:rsidRPr="005C1313">
        <w:rPr>
          <w:rFonts w:ascii="Arial" w:hAnsi="Arial" w:cs="Arial"/>
          <w:i/>
          <w:iCs/>
          <w:color w:val="333333"/>
          <w:u w:val="single"/>
          <w:shd w:val="clear" w:color="auto" w:fill="FCFCFC"/>
        </w:rPr>
        <w:t>, um so das kardiovaskuläre Risiko der Patienten zu verringern</w:t>
      </w:r>
      <w:r w:rsidRPr="005C1313">
        <w:rPr>
          <w:rFonts w:ascii="Arial" w:hAnsi="Arial" w:cs="Arial"/>
          <w:b/>
          <w:bCs/>
          <w:i/>
          <w:iCs/>
          <w:color w:val="333333"/>
          <w:u w:val="single"/>
          <w:shd w:val="clear" w:color="auto" w:fill="FCFCFC"/>
        </w:rPr>
        <w:t>.</w:t>
      </w:r>
    </w:p>
    <w:p w14:paraId="1B3FA3FE" w14:textId="77777777" w:rsidR="0064633A" w:rsidRPr="00EA0FA5" w:rsidRDefault="0064633A" w:rsidP="0064633A">
      <w:pPr>
        <w:pStyle w:val="ZLB2"/>
      </w:pPr>
      <w:r w:rsidRPr="00EA0FA5">
        <w:t xml:space="preserve">Pulmologische </w:t>
      </w:r>
      <w:proofErr w:type="gramStart"/>
      <w:r w:rsidRPr="00EA0FA5">
        <w:t>Mitbeteiligung</w:t>
      </w:r>
      <w:proofErr w:type="gramEnd"/>
    </w:p>
    <w:p w14:paraId="73830756" w14:textId="77777777" w:rsidR="0064633A" w:rsidRPr="001C3103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  <w:u w:val="single"/>
        </w:rPr>
      </w:pPr>
      <w:r w:rsidRPr="00EA0FA5">
        <w:rPr>
          <w:rFonts w:ascii="Arial" w:hAnsi="Arial" w:cs="Arial"/>
        </w:rPr>
        <w:t xml:space="preserve">Die </w:t>
      </w:r>
      <w:proofErr w:type="gramStart"/>
      <w:r w:rsidRPr="00EA0FA5">
        <w:rPr>
          <w:rFonts w:ascii="Arial" w:hAnsi="Arial" w:cs="Arial"/>
        </w:rPr>
        <w:t>Mitbeteiligung</w:t>
      </w:r>
      <w:proofErr w:type="gramEnd"/>
      <w:r w:rsidRPr="00EA0FA5">
        <w:rPr>
          <w:rFonts w:ascii="Arial" w:hAnsi="Arial" w:cs="Arial"/>
        </w:rPr>
        <w:t xml:space="preserve"> der Lunge in Form einer </w:t>
      </w:r>
      <w:r w:rsidRPr="00A44D13">
        <w:rPr>
          <w:rFonts w:ascii="Arial" w:hAnsi="Arial" w:cs="Arial"/>
          <w:b/>
          <w:bCs/>
        </w:rPr>
        <w:t>interstitiellen Lungenerkrankung</w:t>
      </w:r>
      <w:r w:rsidRPr="00EA0FA5">
        <w:rPr>
          <w:rFonts w:ascii="Arial" w:hAnsi="Arial" w:cs="Arial"/>
        </w:rPr>
        <w:t xml:space="preserve"> (RA-ILD) gehört zu den </w:t>
      </w:r>
      <w:r w:rsidRPr="00A44D13">
        <w:rPr>
          <w:rFonts w:ascii="Arial" w:hAnsi="Arial" w:cs="Arial"/>
          <w:b/>
          <w:bCs/>
        </w:rPr>
        <w:t>häufigsten Organmanifestationen</w:t>
      </w:r>
      <w:r w:rsidRPr="00EA0FA5">
        <w:rPr>
          <w:rFonts w:ascii="Arial" w:hAnsi="Arial" w:cs="Arial"/>
        </w:rPr>
        <w:t xml:space="preserve"> bei rheumatoider Arthritis </w:t>
      </w:r>
      <w:r w:rsidRPr="001C3103">
        <w:rPr>
          <w:rFonts w:ascii="Arial" w:hAnsi="Arial" w:cs="Arial"/>
          <w:u w:val="single"/>
        </w:rPr>
        <w:t xml:space="preserve">und zählt </w:t>
      </w:r>
      <w:r w:rsidRPr="001C3103">
        <w:rPr>
          <w:rFonts w:ascii="Arial" w:hAnsi="Arial" w:cs="Arial"/>
          <w:b/>
          <w:bCs/>
          <w:u w:val="single"/>
        </w:rPr>
        <w:t>zu den drei Haupttodesursachen</w:t>
      </w:r>
      <w:r w:rsidRPr="001C3103">
        <w:rPr>
          <w:rFonts w:ascii="Arial" w:hAnsi="Arial" w:cs="Arial"/>
          <w:u w:val="single"/>
        </w:rPr>
        <w:t xml:space="preserve"> von Patienten mit rheumatoider Arthritis.</w:t>
      </w:r>
    </w:p>
    <w:p w14:paraId="6E40AB67" w14:textId="0697C0C4" w:rsidR="0064633A" w:rsidRPr="00EA0FA5" w:rsidRDefault="00147183" w:rsidP="0064633A">
      <w:pPr>
        <w:pStyle w:val="ZLB1"/>
      </w:pPr>
      <w:r>
        <w:t>Nicht medikamentöse therapeutische</w:t>
      </w:r>
      <w:r w:rsidR="0064633A" w:rsidRPr="00EA0FA5">
        <w:t xml:space="preserve"> Maßnahmen rheumatischer Erkrankungen</w:t>
      </w:r>
    </w:p>
    <w:p w14:paraId="41FC8328" w14:textId="66A4D3DE" w:rsidR="0064633A" w:rsidRPr="00EA0FA5" w:rsidRDefault="00147183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64633A" w:rsidRPr="00EA0FA5">
        <w:rPr>
          <w:rFonts w:ascii="Arial" w:hAnsi="Arial" w:cs="Arial"/>
        </w:rPr>
        <w:t xml:space="preserve">ier besonders kombiniertes </w:t>
      </w:r>
      <w:r w:rsidR="0064633A" w:rsidRPr="00A44D13">
        <w:rPr>
          <w:rFonts w:ascii="Arial" w:hAnsi="Arial" w:cs="Arial"/>
          <w:b/>
          <w:bCs/>
        </w:rPr>
        <w:t>Kraftausdauertraining</w:t>
      </w:r>
      <w:r w:rsidR="0064633A" w:rsidRPr="00EA0FA5">
        <w:rPr>
          <w:rFonts w:ascii="Arial" w:hAnsi="Arial" w:cs="Arial"/>
        </w:rPr>
        <w:t xml:space="preserve">, bei dem </w:t>
      </w:r>
      <w:r w:rsidR="0064633A" w:rsidRPr="00A44D13">
        <w:rPr>
          <w:rFonts w:ascii="Arial" w:hAnsi="Arial" w:cs="Arial"/>
          <w:b/>
          <w:bCs/>
        </w:rPr>
        <w:t>Regelmäßigkeit</w:t>
      </w:r>
      <w:r w:rsidR="0064633A" w:rsidRPr="00EA0FA5">
        <w:rPr>
          <w:rFonts w:ascii="Arial" w:hAnsi="Arial" w:cs="Arial"/>
        </w:rPr>
        <w:t xml:space="preserve"> von besonderer Wichtigkeit ist.</w:t>
      </w:r>
    </w:p>
    <w:p w14:paraId="35FD612F" w14:textId="77777777" w:rsidR="0064633A" w:rsidRDefault="0064633A" w:rsidP="0064633A">
      <w:pPr>
        <w:pStyle w:val="ZLBAufzhlung1"/>
      </w:pPr>
      <w:r>
        <w:t>E</w:t>
      </w:r>
      <w:r w:rsidRPr="00EA0FA5">
        <w:t xml:space="preserve">s wird dreimal pro Woche mindestens </w:t>
      </w:r>
      <w:r w:rsidRPr="00A44D13">
        <w:rPr>
          <w:b/>
          <w:bCs/>
        </w:rPr>
        <w:t>30 Minuten Ausdauertraining</w:t>
      </w:r>
      <w:r w:rsidRPr="00EA0FA5">
        <w:t xml:space="preserve"> empfohlen</w:t>
      </w:r>
      <w:r>
        <w:t>.</w:t>
      </w:r>
    </w:p>
    <w:p w14:paraId="54862176" w14:textId="77777777" w:rsidR="0064633A" w:rsidRPr="00EA0FA5" w:rsidRDefault="0064633A" w:rsidP="0064633A">
      <w:pPr>
        <w:pStyle w:val="ZLBAufzhlung1"/>
        <w:numPr>
          <w:ilvl w:val="0"/>
          <w:numId w:val="4"/>
        </w:numPr>
        <w:ind w:left="357" w:hanging="357"/>
      </w:pPr>
      <w:r>
        <w:t>Hinzu kommt</w:t>
      </w:r>
      <w:r w:rsidRPr="00EA0FA5">
        <w:t xml:space="preserve"> </w:t>
      </w:r>
      <w:r w:rsidRPr="00A44D13">
        <w:rPr>
          <w:b/>
          <w:bCs/>
        </w:rPr>
        <w:t>regelmäßiges Krafttraining</w:t>
      </w:r>
      <w:r w:rsidRPr="00EA0FA5">
        <w:t xml:space="preserve"> der großen und kleinen Muskelgruppen. </w:t>
      </w:r>
    </w:p>
    <w:p w14:paraId="38BEA075" w14:textId="77777777" w:rsidR="0064633A" w:rsidRPr="00EA0FA5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 xml:space="preserve">Bei Patienten, die unter Morbus Bechterew (Spondylitis </w:t>
      </w:r>
      <w:proofErr w:type="spellStart"/>
      <w:r w:rsidRPr="00EA0FA5">
        <w:rPr>
          <w:rFonts w:ascii="Arial" w:hAnsi="Arial" w:cs="Arial"/>
        </w:rPr>
        <w:t>ankylosans</w:t>
      </w:r>
      <w:proofErr w:type="spellEnd"/>
      <w:r w:rsidRPr="00EA0FA5">
        <w:rPr>
          <w:rFonts w:ascii="Arial" w:hAnsi="Arial" w:cs="Arial"/>
        </w:rPr>
        <w:t xml:space="preserve">) leiden, kommen </w:t>
      </w:r>
      <w:r w:rsidRPr="00935DC3">
        <w:rPr>
          <w:rFonts w:ascii="Arial" w:hAnsi="Arial" w:cs="Arial"/>
          <w:b/>
          <w:bCs/>
        </w:rPr>
        <w:t>zusätzlich Bewegungs- und Haltungsübungen</w:t>
      </w:r>
      <w:r w:rsidRPr="00EA0FA5">
        <w:rPr>
          <w:rFonts w:ascii="Arial" w:hAnsi="Arial" w:cs="Arial"/>
        </w:rPr>
        <w:t xml:space="preserve"> hinzu.</w:t>
      </w:r>
    </w:p>
    <w:p w14:paraId="041E7443" w14:textId="3EAC1C74" w:rsidR="0064633A" w:rsidRDefault="0064633A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 w:rsidRPr="00EA0FA5">
        <w:rPr>
          <w:rFonts w:ascii="Arial" w:hAnsi="Arial" w:cs="Arial"/>
        </w:rPr>
        <w:t>Es konnte in mehreren Studien bewiesen werden, dass</w:t>
      </w:r>
      <w:r>
        <w:rPr>
          <w:rFonts w:ascii="Arial" w:hAnsi="Arial" w:cs="Arial"/>
        </w:rPr>
        <w:t xml:space="preserve"> </w:t>
      </w:r>
      <w:r w:rsidRPr="00EA0FA5">
        <w:rPr>
          <w:rFonts w:ascii="Arial" w:hAnsi="Arial" w:cs="Arial"/>
        </w:rPr>
        <w:t>für Patienten mit einer milden bis mittleren Krankheitsaktivität körperliche Bewegung (Training) vorteilhaft ist.</w:t>
      </w:r>
    </w:p>
    <w:p w14:paraId="135D1F0C" w14:textId="21E9B2E4" w:rsidR="00F45C9B" w:rsidRPr="00EA0FA5" w:rsidRDefault="00F45C9B" w:rsidP="0064633A">
      <w:pPr>
        <w:pStyle w:val="StandardWeb"/>
        <w:snapToGrid w:val="0"/>
        <w:spacing w:before="80" w:beforeAutospacing="0" w:after="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3B17C1" wp14:editId="220B0FB9">
            <wp:extent cx="1300598" cy="1600200"/>
            <wp:effectExtent l="0" t="0" r="0" b="0"/>
            <wp:docPr id="20484" name="Picture 7" descr="Ein Bild, das Boden, Person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75285AB-E2EE-4461-8F5C-C80F0EC9810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 descr="Ein Bild, das Boden, Person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75285AB-E2EE-4461-8F5C-C80F0EC98103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100" cy="16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7A96">
        <w:rPr>
          <w:noProof/>
        </w:rPr>
        <w:drawing>
          <wp:inline distT="0" distB="0" distL="0" distR="0" wp14:anchorId="7E70BF5D" wp14:editId="14826FC2">
            <wp:extent cx="1723599" cy="1600200"/>
            <wp:effectExtent l="0" t="0" r="0" b="0"/>
            <wp:docPr id="7" name="Grafik 7" descr="Ein Bild, das Wand, drinnen, Boden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Wand, drinnen, Boden, Raum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053" cy="16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54B">
        <w:rPr>
          <w:noProof/>
        </w:rPr>
        <w:drawing>
          <wp:inline distT="0" distB="0" distL="0" distR="0" wp14:anchorId="1D80A0E2" wp14:editId="7D11AC0B">
            <wp:extent cx="1974026" cy="1587779"/>
            <wp:effectExtent l="0" t="0" r="7620" b="0"/>
            <wp:docPr id="31748" name="Picture 4" descr="IMG_2175">
              <a:extLst xmlns:a="http://schemas.openxmlformats.org/drawingml/2006/main">
                <a:ext uri="{FF2B5EF4-FFF2-40B4-BE49-F238E27FC236}">
                  <a16:creationId xmlns:a16="http://schemas.microsoft.com/office/drawing/2014/main" id="{14A3BE94-A130-EA65-7A8B-F0E570A14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IMG_2175">
                      <a:extLst>
                        <a:ext uri="{FF2B5EF4-FFF2-40B4-BE49-F238E27FC236}">
                          <a16:creationId xmlns:a16="http://schemas.microsoft.com/office/drawing/2014/main" id="{14A3BE94-A130-EA65-7A8B-F0E570A14D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22" cy="159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6484" w14:textId="77777777" w:rsidR="000066AB" w:rsidRDefault="000066AB" w:rsidP="0064633A">
      <w:pPr>
        <w:pStyle w:val="ZLBServiceBox-1"/>
      </w:pPr>
    </w:p>
    <w:p w14:paraId="10C86E03" w14:textId="77777777" w:rsidR="000066AB" w:rsidRDefault="000066AB" w:rsidP="0064633A">
      <w:pPr>
        <w:pStyle w:val="ZLBServiceBox-1"/>
      </w:pPr>
    </w:p>
    <w:p w14:paraId="1E1E55F3" w14:textId="77777777" w:rsidR="000066AB" w:rsidRDefault="000066AB" w:rsidP="0064633A">
      <w:pPr>
        <w:pStyle w:val="ZLBServiceBox-1"/>
      </w:pPr>
    </w:p>
    <w:p w14:paraId="3E42685E" w14:textId="77777777" w:rsidR="000066AB" w:rsidRDefault="000066AB" w:rsidP="0064633A">
      <w:pPr>
        <w:pStyle w:val="ZLBServiceBox-1"/>
      </w:pPr>
    </w:p>
    <w:p w14:paraId="759D685A" w14:textId="77777777" w:rsidR="000066AB" w:rsidRDefault="000066AB" w:rsidP="0064633A">
      <w:pPr>
        <w:pStyle w:val="ZLBServiceBox-1"/>
      </w:pPr>
    </w:p>
    <w:p w14:paraId="0991F1ED" w14:textId="77777777" w:rsidR="000066AB" w:rsidRDefault="000066AB" w:rsidP="0064633A">
      <w:pPr>
        <w:pStyle w:val="ZLBServiceBox-1"/>
      </w:pPr>
    </w:p>
    <w:p w14:paraId="6A03A525" w14:textId="1AEAE6B3" w:rsidR="0064633A" w:rsidRPr="001D3C4C" w:rsidRDefault="0064633A" w:rsidP="0064633A">
      <w:pPr>
        <w:rPr>
          <w:rFonts w:ascii="Arial" w:hAnsi="Arial" w:cs="Arial"/>
          <w:color w:val="000000"/>
          <w:sz w:val="18"/>
          <w:szCs w:val="18"/>
        </w:rPr>
      </w:pPr>
      <w:r w:rsidRPr="001D3C4C">
        <w:rPr>
          <w:rFonts w:ascii="Arial" w:hAnsi="Arial" w:cs="Arial"/>
          <w:sz w:val="18"/>
          <w:szCs w:val="18"/>
        </w:rPr>
        <w:lastRenderedPageBreak/>
        <w:t xml:space="preserve">Prim. </w:t>
      </w:r>
      <w:proofErr w:type="spellStart"/>
      <w:r w:rsidRPr="001D3C4C">
        <w:rPr>
          <w:rFonts w:ascii="Arial" w:hAnsi="Arial" w:cs="Arial"/>
          <w:sz w:val="18"/>
          <w:szCs w:val="18"/>
        </w:rPr>
        <w:t>Doz</w:t>
      </w:r>
      <w:proofErr w:type="spellEnd"/>
      <w:r w:rsidRPr="001D3C4C">
        <w:rPr>
          <w:rFonts w:ascii="Arial" w:hAnsi="Arial" w:cs="Arial"/>
          <w:sz w:val="18"/>
          <w:szCs w:val="18"/>
        </w:rPr>
        <w:t xml:space="preserve">. Dr. Edmund </w:t>
      </w:r>
      <w:proofErr w:type="spellStart"/>
      <w:r w:rsidRPr="001D3C4C">
        <w:rPr>
          <w:rFonts w:ascii="Arial" w:hAnsi="Arial" w:cs="Arial"/>
          <w:sz w:val="18"/>
          <w:szCs w:val="18"/>
        </w:rPr>
        <w:t>Cauza</w:t>
      </w:r>
      <w:proofErr w:type="spellEnd"/>
      <w:r w:rsidRPr="001D3C4C">
        <w:rPr>
          <w:rFonts w:ascii="Arial" w:hAnsi="Arial" w:cs="Arial"/>
          <w:sz w:val="18"/>
          <w:szCs w:val="18"/>
        </w:rPr>
        <w:t xml:space="preserve">, Facharzt für Innere Medizin und Rheumatologie und Endokrinologie und Diabetologie sowie Zusatzfach Geriatrie. Vorstand </w:t>
      </w:r>
      <w:r w:rsidRPr="001D3C4C">
        <w:rPr>
          <w:rFonts w:ascii="Arial" w:hAnsi="Arial" w:cs="Arial"/>
          <w:color w:val="000000"/>
          <w:sz w:val="18"/>
          <w:szCs w:val="18"/>
        </w:rPr>
        <w:t>der Abteilung Innere Medizin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1D3C4C">
        <w:rPr>
          <w:rFonts w:ascii="Arial" w:hAnsi="Arial" w:cs="Arial"/>
          <w:color w:val="000000"/>
          <w:sz w:val="18"/>
          <w:szCs w:val="18"/>
        </w:rPr>
        <w:t xml:space="preserve">Akutgeriatrie und </w:t>
      </w:r>
      <w:proofErr w:type="spellStart"/>
      <w:r w:rsidRPr="001D3C4C">
        <w:rPr>
          <w:rFonts w:ascii="Arial" w:hAnsi="Arial" w:cs="Arial"/>
          <w:color w:val="000000"/>
          <w:sz w:val="18"/>
          <w:szCs w:val="18"/>
        </w:rPr>
        <w:t>Remobilisation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und </w:t>
      </w:r>
      <w:proofErr w:type="spellStart"/>
      <w:r w:rsidRPr="001D3C4C">
        <w:rPr>
          <w:rFonts w:ascii="Arial" w:hAnsi="Arial" w:cs="Arial"/>
          <w:color w:val="000000"/>
          <w:sz w:val="18"/>
          <w:szCs w:val="18"/>
        </w:rPr>
        <w:t>Stv</w:t>
      </w:r>
      <w:proofErr w:type="spellEnd"/>
      <w:r w:rsidRPr="001D3C4C">
        <w:rPr>
          <w:rFonts w:ascii="Arial" w:hAnsi="Arial" w:cs="Arial"/>
          <w:color w:val="000000"/>
          <w:sz w:val="18"/>
          <w:szCs w:val="18"/>
        </w:rPr>
        <w:t>. Ärztlicher Direktor im Her</w:t>
      </w:r>
      <w:r>
        <w:rPr>
          <w:rFonts w:ascii="Arial" w:hAnsi="Arial" w:cs="Arial"/>
          <w:color w:val="000000"/>
          <w:sz w:val="18"/>
          <w:szCs w:val="18"/>
        </w:rPr>
        <w:t>z</w:t>
      </w:r>
      <w:r w:rsidRPr="001D3C4C">
        <w:rPr>
          <w:rFonts w:ascii="Arial" w:hAnsi="Arial" w:cs="Arial"/>
          <w:color w:val="000000"/>
          <w:sz w:val="18"/>
          <w:szCs w:val="18"/>
        </w:rPr>
        <w:t>-Jesu-Krankenhaus Wien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</w:p>
    <w:p w14:paraId="28E377A0" w14:textId="01957782" w:rsidR="0064633A" w:rsidRPr="001D3C4C" w:rsidRDefault="0064633A" w:rsidP="0064633A">
      <w:pPr>
        <w:rPr>
          <w:rFonts w:ascii="Arial" w:hAnsi="Arial" w:cs="Arial"/>
          <w:color w:val="000000"/>
          <w:sz w:val="18"/>
          <w:szCs w:val="18"/>
        </w:rPr>
      </w:pPr>
      <w:r w:rsidRPr="001D3C4C">
        <w:rPr>
          <w:rFonts w:ascii="Arial" w:hAnsi="Arial" w:cs="Arial"/>
          <w:color w:val="000000"/>
          <w:sz w:val="18"/>
          <w:szCs w:val="18"/>
        </w:rPr>
        <w:t>Allgemein beeideter und gerichtlich zertifizierter Sachverständiger.</w:t>
      </w:r>
    </w:p>
    <w:p w14:paraId="39710047" w14:textId="77777777" w:rsidR="0064633A" w:rsidRPr="001D3C4C" w:rsidRDefault="0064633A" w:rsidP="0064633A">
      <w:pPr>
        <w:rPr>
          <w:rFonts w:ascii="Arial" w:hAnsi="Arial" w:cs="Arial"/>
          <w:color w:val="000000"/>
          <w:sz w:val="18"/>
          <w:szCs w:val="18"/>
        </w:rPr>
      </w:pPr>
      <w:r w:rsidRPr="001D3C4C">
        <w:rPr>
          <w:rFonts w:ascii="Arial" w:hAnsi="Arial" w:cs="Arial"/>
          <w:color w:val="000000"/>
          <w:sz w:val="18"/>
          <w:szCs w:val="18"/>
        </w:rPr>
        <w:t xml:space="preserve">E-Mail: </w:t>
      </w:r>
      <w:r>
        <w:rPr>
          <w:rFonts w:ascii="Arial" w:hAnsi="Arial" w:cs="Arial"/>
          <w:color w:val="000000"/>
          <w:sz w:val="18"/>
          <w:szCs w:val="18"/>
        </w:rPr>
        <w:t>e</w:t>
      </w:r>
      <w:r w:rsidRPr="001D3C4C">
        <w:rPr>
          <w:rFonts w:ascii="Arial" w:hAnsi="Arial" w:cs="Arial"/>
          <w:color w:val="000000"/>
          <w:sz w:val="18"/>
          <w:szCs w:val="18"/>
        </w:rPr>
        <w:t>dmund.</w:t>
      </w:r>
      <w:r>
        <w:rPr>
          <w:rFonts w:ascii="Arial" w:hAnsi="Arial" w:cs="Arial"/>
          <w:color w:val="000000"/>
          <w:sz w:val="18"/>
          <w:szCs w:val="18"/>
        </w:rPr>
        <w:t>c</w:t>
      </w:r>
      <w:r w:rsidRPr="001D3C4C">
        <w:rPr>
          <w:rFonts w:ascii="Arial" w:hAnsi="Arial" w:cs="Arial"/>
          <w:color w:val="000000"/>
          <w:sz w:val="18"/>
          <w:szCs w:val="18"/>
        </w:rPr>
        <w:t>auza@kh-herzjesu.at</w:t>
      </w:r>
    </w:p>
    <w:p w14:paraId="46FE66C8" w14:textId="77777777" w:rsidR="0064633A" w:rsidRDefault="0064633A" w:rsidP="0064633A">
      <w:pPr>
        <w:pStyle w:val="Funotentext"/>
      </w:pPr>
    </w:p>
    <w:p w14:paraId="00C338D6" w14:textId="77777777" w:rsidR="0064633A" w:rsidRDefault="0064633A" w:rsidP="0064633A">
      <w:pPr>
        <w:pStyle w:val="Funotentext"/>
      </w:pPr>
    </w:p>
    <w:p w14:paraId="1EE2B9CA" w14:textId="3BFC34ED" w:rsidR="0064633A" w:rsidRDefault="0089056F" w:rsidP="0064633A">
      <w:pPr>
        <w:pStyle w:val="Funotentext"/>
      </w:pPr>
      <w:r w:rsidRPr="0089056F">
        <w:rPr>
          <w:lang w:val="de-AT"/>
        </w:rPr>
        <w:drawing>
          <wp:inline distT="0" distB="0" distL="0" distR="0" wp14:anchorId="55874D40" wp14:editId="7DCFEAF9">
            <wp:extent cx="1290672" cy="1873250"/>
            <wp:effectExtent l="0" t="0" r="5080" b="0"/>
            <wp:docPr id="67588" name="Picture 2" descr="Ein Bild, das Gebäude, draußen, Straße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2" descr="Ein Bild, das Gebäude, draußen, Straße, Stad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01" cy="18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7FF0" w14:textId="77777777" w:rsidR="0064633A" w:rsidRDefault="0064633A" w:rsidP="0064633A">
      <w:pPr>
        <w:pStyle w:val="Funotentext"/>
      </w:pPr>
    </w:p>
    <w:p w14:paraId="6135B6FA" w14:textId="77777777" w:rsidR="0064633A" w:rsidRDefault="0064633A" w:rsidP="0064633A">
      <w:pPr>
        <w:pStyle w:val="Funotentext"/>
      </w:pPr>
    </w:p>
    <w:p w14:paraId="3D88A502" w14:textId="77777777" w:rsidR="0064633A" w:rsidRDefault="0064633A" w:rsidP="0064633A">
      <w:pPr>
        <w:pStyle w:val="Funotentext"/>
      </w:pPr>
    </w:p>
    <w:p w14:paraId="302661A9" w14:textId="77777777" w:rsidR="0064633A" w:rsidRDefault="0064633A" w:rsidP="0064633A">
      <w:pPr>
        <w:pStyle w:val="Funotentext"/>
      </w:pPr>
    </w:p>
    <w:p w14:paraId="2122C25B" w14:textId="77777777" w:rsidR="0064633A" w:rsidRDefault="0064633A" w:rsidP="0064633A">
      <w:pPr>
        <w:pStyle w:val="Funotentext"/>
      </w:pPr>
    </w:p>
    <w:p w14:paraId="4B64C220" w14:textId="77777777" w:rsidR="0064633A" w:rsidRDefault="0064633A" w:rsidP="0064633A">
      <w:pPr>
        <w:pStyle w:val="Funotentext"/>
      </w:pPr>
    </w:p>
    <w:p w14:paraId="644493EA" w14:textId="77777777" w:rsidR="0064633A" w:rsidRDefault="0064633A" w:rsidP="0064633A">
      <w:pPr>
        <w:pStyle w:val="Funotentext"/>
      </w:pPr>
    </w:p>
    <w:p w14:paraId="7D3D37A6" w14:textId="77777777" w:rsidR="00E8730D" w:rsidRDefault="00E8730D"/>
    <w:sectPr w:rsidR="00E873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85009" w14:textId="77777777" w:rsidR="00755DAC" w:rsidRDefault="00755DAC" w:rsidP="0064633A">
      <w:r>
        <w:separator/>
      </w:r>
    </w:p>
  </w:endnote>
  <w:endnote w:type="continuationSeparator" w:id="0">
    <w:p w14:paraId="52761EAB" w14:textId="77777777" w:rsidR="00755DAC" w:rsidRDefault="00755DAC" w:rsidP="00646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EA310" w14:textId="77777777" w:rsidR="00755DAC" w:rsidRDefault="00755DAC" w:rsidP="0064633A">
      <w:r>
        <w:separator/>
      </w:r>
    </w:p>
  </w:footnote>
  <w:footnote w:type="continuationSeparator" w:id="0">
    <w:p w14:paraId="731FAF18" w14:textId="77777777" w:rsidR="00755DAC" w:rsidRDefault="00755DAC" w:rsidP="0064633A">
      <w:r>
        <w:continuationSeparator/>
      </w:r>
    </w:p>
  </w:footnote>
  <w:footnote w:id="1">
    <w:p w14:paraId="16FE8888" w14:textId="3FAFFB77" w:rsidR="009E696E" w:rsidRPr="004B5661" w:rsidRDefault="009E696E" w:rsidP="009E696E">
      <w:pPr>
        <w:pStyle w:val="Funotentext"/>
        <w:rPr>
          <w:lang w:val="de-AT"/>
        </w:rPr>
      </w:pPr>
      <w:r>
        <w:rPr>
          <w:rStyle w:val="Funotenzeichen"/>
        </w:rPr>
        <w:footnoteRef/>
      </w:r>
      <w:r w:rsidRPr="004B5661">
        <w:rPr>
          <w:lang w:val="de-AT"/>
        </w:rPr>
        <w:t xml:space="preserve"> </w:t>
      </w:r>
      <w:hyperlink r:id="rId1" w:history="1">
        <w:r w:rsidRPr="004B5661">
          <w:rPr>
            <w:rStyle w:val="Hyperlink"/>
            <w:rFonts w:ascii="Arial" w:hAnsi="Arial" w:cs="Arial"/>
            <w:sz w:val="16"/>
            <w:szCs w:val="16"/>
            <w:lang w:val="de-AT"/>
          </w:rPr>
          <w:t>https://www.eular.org/reco</w:t>
        </w:r>
        <w:r w:rsidRPr="004B5661">
          <w:rPr>
            <w:rStyle w:val="Hyperlink"/>
            <w:rFonts w:ascii="Arial" w:hAnsi="Arial" w:cs="Arial"/>
            <w:sz w:val="16"/>
            <w:szCs w:val="16"/>
            <w:lang w:val="de-AT"/>
          </w:rPr>
          <w:t>m</w:t>
        </w:r>
        <w:r w:rsidRPr="004B5661">
          <w:rPr>
            <w:rStyle w:val="Hyperlink"/>
            <w:rFonts w:ascii="Arial" w:hAnsi="Arial" w:cs="Arial"/>
            <w:sz w:val="16"/>
            <w:szCs w:val="16"/>
            <w:lang w:val="de-AT"/>
          </w:rPr>
          <w:t>mendations_eular_acr.cfm</w:t>
        </w:r>
      </w:hyperlink>
      <w:r w:rsidRPr="004B5661">
        <w:rPr>
          <w:rFonts w:ascii="Arial" w:hAnsi="Arial" w:cs="Arial"/>
          <w:sz w:val="16"/>
          <w:szCs w:val="16"/>
          <w:lang w:val="de-AT"/>
        </w:rPr>
        <w:t xml:space="preserve"> </w:t>
      </w:r>
    </w:p>
  </w:footnote>
  <w:footnote w:id="2">
    <w:p w14:paraId="7759020D" w14:textId="77777777" w:rsidR="0064633A" w:rsidRPr="000F2E1D" w:rsidRDefault="0064633A" w:rsidP="0064633A">
      <w:pPr>
        <w:pStyle w:val="Funotentext"/>
        <w:rPr>
          <w:rFonts w:ascii="Arial" w:hAnsi="Arial" w:cs="Arial"/>
          <w:sz w:val="16"/>
          <w:szCs w:val="16"/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0F2E1D">
        <w:rPr>
          <w:rFonts w:ascii="Arial" w:hAnsi="Arial" w:cs="Arial"/>
          <w:sz w:val="16"/>
          <w:szCs w:val="16"/>
          <w:lang w:val="de-AT"/>
        </w:rPr>
        <w:t>Siehe FN1</w:t>
      </w:r>
    </w:p>
  </w:footnote>
  <w:footnote w:id="3">
    <w:p w14:paraId="2CB0AD14" w14:textId="1CC0728D" w:rsidR="0064633A" w:rsidRDefault="0064633A" w:rsidP="0064633A">
      <w:pPr>
        <w:pStyle w:val="StandardWeb"/>
        <w:spacing w:before="0" w:beforeAutospacing="0" w:after="0"/>
        <w:rPr>
          <w:rFonts w:ascii="Arial" w:hAnsi="Arial" w:cs="Arial"/>
          <w:sz w:val="16"/>
          <w:szCs w:val="16"/>
          <w:lang w:val="en-US" w:eastAsia="de-DE"/>
        </w:rPr>
      </w:pPr>
      <w:r w:rsidRPr="000F2E1D">
        <w:rPr>
          <w:rStyle w:val="Funotenzeichen"/>
          <w:rFonts w:ascii="Arial" w:hAnsi="Arial" w:cs="Arial"/>
          <w:sz w:val="16"/>
          <w:szCs w:val="16"/>
        </w:rPr>
        <w:footnoteRef/>
      </w:r>
      <w:r w:rsidRPr="000F2E1D">
        <w:rPr>
          <w:rFonts w:ascii="Arial" w:hAnsi="Arial" w:cs="Arial"/>
          <w:sz w:val="16"/>
          <w:szCs w:val="16"/>
          <w:lang w:val="en-US"/>
        </w:rPr>
        <w:t xml:space="preserve"> </w:t>
      </w:r>
      <w:r w:rsidRPr="000F2E1D">
        <w:rPr>
          <w:rFonts w:ascii="Arial" w:hAnsi="Arial" w:cs="Arial"/>
          <w:sz w:val="16"/>
          <w:szCs w:val="16"/>
          <w:lang w:val="en-US" w:eastAsia="de-DE"/>
        </w:rPr>
        <w:t>GRAPPA</w:t>
      </w:r>
      <w:r w:rsidRPr="000F2E1D">
        <w:rPr>
          <w:rFonts w:ascii="Arial" w:hAnsi="Arial" w:cs="Arial"/>
          <w:b/>
          <w:bCs/>
          <w:sz w:val="16"/>
          <w:szCs w:val="16"/>
          <w:lang w:val="en-US" w:eastAsia="de-DE"/>
        </w:rPr>
        <w:t>: G</w:t>
      </w:r>
      <w:r w:rsidRPr="000F2E1D">
        <w:rPr>
          <w:rFonts w:ascii="Arial" w:hAnsi="Arial" w:cs="Arial"/>
          <w:sz w:val="16"/>
          <w:szCs w:val="16"/>
          <w:lang w:val="en-US" w:eastAsia="de-DE"/>
        </w:rPr>
        <w:t xml:space="preserve">roup for </w:t>
      </w:r>
      <w:r w:rsidRPr="000F2E1D">
        <w:rPr>
          <w:rFonts w:ascii="Arial" w:hAnsi="Arial" w:cs="Arial"/>
          <w:b/>
          <w:bCs/>
          <w:sz w:val="16"/>
          <w:szCs w:val="16"/>
          <w:lang w:val="en-US" w:eastAsia="de-DE"/>
        </w:rPr>
        <w:t>R</w:t>
      </w:r>
      <w:r w:rsidRPr="000F2E1D">
        <w:rPr>
          <w:rFonts w:ascii="Arial" w:hAnsi="Arial" w:cs="Arial"/>
          <w:sz w:val="16"/>
          <w:szCs w:val="16"/>
          <w:lang w:val="en-US" w:eastAsia="de-DE"/>
        </w:rPr>
        <w:t xml:space="preserve">esearch and </w:t>
      </w:r>
      <w:r w:rsidRPr="000F2E1D">
        <w:rPr>
          <w:rFonts w:ascii="Arial" w:hAnsi="Arial" w:cs="Arial"/>
          <w:b/>
          <w:bCs/>
          <w:sz w:val="16"/>
          <w:szCs w:val="16"/>
          <w:lang w:val="en-US" w:eastAsia="de-DE"/>
        </w:rPr>
        <w:t>A</w:t>
      </w:r>
      <w:r w:rsidRPr="000F2E1D">
        <w:rPr>
          <w:rFonts w:ascii="Arial" w:hAnsi="Arial" w:cs="Arial"/>
          <w:sz w:val="16"/>
          <w:szCs w:val="16"/>
          <w:lang w:val="en-US" w:eastAsia="de-DE"/>
        </w:rPr>
        <w:t xml:space="preserve">ssessment of </w:t>
      </w:r>
      <w:r w:rsidRPr="000F2E1D">
        <w:rPr>
          <w:rFonts w:ascii="Arial" w:hAnsi="Arial" w:cs="Arial"/>
          <w:b/>
          <w:bCs/>
          <w:sz w:val="16"/>
          <w:szCs w:val="16"/>
          <w:lang w:val="en-US" w:eastAsia="de-DE"/>
        </w:rPr>
        <w:t>P</w:t>
      </w:r>
      <w:r w:rsidRPr="000F2E1D">
        <w:rPr>
          <w:rFonts w:ascii="Arial" w:hAnsi="Arial" w:cs="Arial"/>
          <w:sz w:val="16"/>
          <w:szCs w:val="16"/>
          <w:lang w:val="en-US" w:eastAsia="de-DE"/>
        </w:rPr>
        <w:t xml:space="preserve">soriasis and </w:t>
      </w:r>
      <w:r w:rsidRPr="000F2E1D">
        <w:rPr>
          <w:rFonts w:ascii="Arial" w:hAnsi="Arial" w:cs="Arial"/>
          <w:b/>
          <w:bCs/>
          <w:sz w:val="16"/>
          <w:szCs w:val="16"/>
          <w:lang w:val="en-US" w:eastAsia="de-DE"/>
        </w:rPr>
        <w:t>P</w:t>
      </w:r>
      <w:r w:rsidRPr="000F2E1D">
        <w:rPr>
          <w:rFonts w:ascii="Arial" w:hAnsi="Arial" w:cs="Arial"/>
          <w:sz w:val="16"/>
          <w:szCs w:val="16"/>
          <w:lang w:val="en-US" w:eastAsia="de-DE"/>
        </w:rPr>
        <w:t xml:space="preserve">soriatic </w:t>
      </w:r>
      <w:r w:rsidRPr="000F2E1D">
        <w:rPr>
          <w:rFonts w:ascii="Arial" w:hAnsi="Arial" w:cs="Arial"/>
          <w:b/>
          <w:bCs/>
          <w:sz w:val="16"/>
          <w:szCs w:val="16"/>
          <w:lang w:val="en-US" w:eastAsia="de-DE"/>
        </w:rPr>
        <w:t>A</w:t>
      </w:r>
      <w:r w:rsidRPr="000F2E1D">
        <w:rPr>
          <w:rFonts w:ascii="Arial" w:hAnsi="Arial" w:cs="Arial"/>
          <w:sz w:val="16"/>
          <w:szCs w:val="16"/>
          <w:lang w:val="en-US" w:eastAsia="de-DE"/>
        </w:rPr>
        <w:t xml:space="preserve">rthritis </w:t>
      </w:r>
    </w:p>
    <w:p w14:paraId="1DF7563A" w14:textId="2C2F3FAF" w:rsidR="003427D4" w:rsidRPr="000F2E1D" w:rsidRDefault="003427D4" w:rsidP="0064633A">
      <w:pPr>
        <w:pStyle w:val="StandardWeb"/>
        <w:spacing w:before="0" w:beforeAutospacing="0" w:after="0"/>
        <w:rPr>
          <w:rFonts w:ascii="Arial" w:hAnsi="Arial" w:cs="Arial"/>
          <w:sz w:val="16"/>
          <w:szCs w:val="16"/>
          <w:lang w:val="en-US" w:eastAsia="de-DE"/>
        </w:rPr>
      </w:pPr>
    </w:p>
    <w:p w14:paraId="10EC9FFA" w14:textId="77777777" w:rsidR="0064633A" w:rsidRPr="000F2E1D" w:rsidRDefault="0064633A" w:rsidP="0064633A">
      <w:pPr>
        <w:pStyle w:val="Funoten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35A96"/>
    <w:multiLevelType w:val="hybridMultilevel"/>
    <w:tmpl w:val="951004E6"/>
    <w:lvl w:ilvl="0" w:tplc="45F89520">
      <w:start w:val="1"/>
      <w:numFmt w:val="bullet"/>
      <w:pStyle w:val="ZLBMuster-Aufzhlung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31FEE"/>
    <w:multiLevelType w:val="hybridMultilevel"/>
    <w:tmpl w:val="AD42619A"/>
    <w:lvl w:ilvl="0" w:tplc="1BF02382">
      <w:start w:val="1"/>
      <w:numFmt w:val="bullet"/>
      <w:pStyle w:val="ZLBAufzhlung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C0000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23A05"/>
    <w:multiLevelType w:val="multilevel"/>
    <w:tmpl w:val="37062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E42AF"/>
    <w:multiLevelType w:val="multilevel"/>
    <w:tmpl w:val="F58A2F94"/>
    <w:lvl w:ilvl="0">
      <w:start w:val="1"/>
      <w:numFmt w:val="bullet"/>
      <w:pStyle w:val="ZLBAufzhlung2"/>
      <w:lvlText w:val="­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92D6F"/>
    <w:multiLevelType w:val="hybridMultilevel"/>
    <w:tmpl w:val="E08255AE"/>
    <w:lvl w:ilvl="0" w:tplc="BC267F7A">
      <w:start w:val="1"/>
      <w:numFmt w:val="bullet"/>
      <w:pStyle w:val="ZLBHinweisPraxistipp-Aufzaehlung"/>
      <w:lvlText w:val=""/>
      <w:lvlJc w:val="left"/>
      <w:pPr>
        <w:tabs>
          <w:tab w:val="num" w:pos="848"/>
        </w:tabs>
        <w:ind w:left="848" w:hanging="207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34593"/>
    <w:multiLevelType w:val="hybridMultilevel"/>
    <w:tmpl w:val="7E4E0D5A"/>
    <w:lvl w:ilvl="0" w:tplc="C31CAD1C">
      <w:start w:val="1"/>
      <w:numFmt w:val="bullet"/>
      <w:pStyle w:val="ZLBMuster-Aufzhlung2"/>
      <w:lvlText w:val="–"/>
      <w:lvlJc w:val="left"/>
      <w:pPr>
        <w:tabs>
          <w:tab w:val="num" w:pos="284"/>
        </w:tabs>
        <w:ind w:left="0" w:firstLine="0"/>
      </w:pPr>
      <w:rPr>
        <w:rFonts w:ascii="Times New Roman" w:hAnsi="Times New Roman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0371809">
    <w:abstractNumId w:val="1"/>
  </w:num>
  <w:num w:numId="2" w16cid:durableId="794064307">
    <w:abstractNumId w:val="3"/>
  </w:num>
  <w:num w:numId="3" w16cid:durableId="463501534">
    <w:abstractNumId w:val="4"/>
  </w:num>
  <w:num w:numId="4" w16cid:durableId="53548842">
    <w:abstractNumId w:val="0"/>
  </w:num>
  <w:num w:numId="5" w16cid:durableId="1722706893">
    <w:abstractNumId w:val="5"/>
  </w:num>
  <w:num w:numId="6" w16cid:durableId="1138839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3A"/>
    <w:rsid w:val="000066AB"/>
    <w:rsid w:val="00031286"/>
    <w:rsid w:val="000E2C25"/>
    <w:rsid w:val="0010053C"/>
    <w:rsid w:val="00147183"/>
    <w:rsid w:val="00182B1F"/>
    <w:rsid w:val="001C3103"/>
    <w:rsid w:val="001D7A96"/>
    <w:rsid w:val="001E11A2"/>
    <w:rsid w:val="00234EFE"/>
    <w:rsid w:val="00246043"/>
    <w:rsid w:val="00275E60"/>
    <w:rsid w:val="00294886"/>
    <w:rsid w:val="002969E7"/>
    <w:rsid w:val="002C6761"/>
    <w:rsid w:val="00305B34"/>
    <w:rsid w:val="003427D4"/>
    <w:rsid w:val="003E354B"/>
    <w:rsid w:val="004312DF"/>
    <w:rsid w:val="00460C94"/>
    <w:rsid w:val="004C56C0"/>
    <w:rsid w:val="004D2B27"/>
    <w:rsid w:val="004D601B"/>
    <w:rsid w:val="0053747F"/>
    <w:rsid w:val="0058150C"/>
    <w:rsid w:val="005C1313"/>
    <w:rsid w:val="005F3E5A"/>
    <w:rsid w:val="0061377B"/>
    <w:rsid w:val="00617C7C"/>
    <w:rsid w:val="0064633A"/>
    <w:rsid w:val="006A194E"/>
    <w:rsid w:val="00755DAC"/>
    <w:rsid w:val="00771CD7"/>
    <w:rsid w:val="00797FD4"/>
    <w:rsid w:val="007F536E"/>
    <w:rsid w:val="007F7D25"/>
    <w:rsid w:val="008307D9"/>
    <w:rsid w:val="0089056F"/>
    <w:rsid w:val="008A2BBD"/>
    <w:rsid w:val="008E48C5"/>
    <w:rsid w:val="0090241C"/>
    <w:rsid w:val="00927485"/>
    <w:rsid w:val="00966DBB"/>
    <w:rsid w:val="009811F6"/>
    <w:rsid w:val="009C66B4"/>
    <w:rsid w:val="009E696E"/>
    <w:rsid w:val="00A22D51"/>
    <w:rsid w:val="00A538F0"/>
    <w:rsid w:val="00AC304C"/>
    <w:rsid w:val="00B23673"/>
    <w:rsid w:val="00B46BD4"/>
    <w:rsid w:val="00B56FB1"/>
    <w:rsid w:val="00BA47C1"/>
    <w:rsid w:val="00BC1E4B"/>
    <w:rsid w:val="00BC5FD2"/>
    <w:rsid w:val="00C637E9"/>
    <w:rsid w:val="00C83E29"/>
    <w:rsid w:val="00D43B0C"/>
    <w:rsid w:val="00D54EB6"/>
    <w:rsid w:val="00DC6986"/>
    <w:rsid w:val="00E11E52"/>
    <w:rsid w:val="00E16D9F"/>
    <w:rsid w:val="00E45387"/>
    <w:rsid w:val="00E8730D"/>
    <w:rsid w:val="00F4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5725A"/>
  <w15:chartTrackingRefBased/>
  <w15:docId w15:val="{B1536CCB-CA5E-4A40-B991-8978157F0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LBSchlagwort">
    <w:name w:val="ZLB:Schlagwort"/>
    <w:basedOn w:val="ZLB1"/>
    <w:rsid w:val="0064633A"/>
    <w:pPr>
      <w:shd w:val="clear" w:color="auto" w:fill="EAEAEA"/>
    </w:pPr>
    <w:rPr>
      <w:sz w:val="22"/>
    </w:rPr>
  </w:style>
  <w:style w:type="paragraph" w:customStyle="1" w:styleId="ZLB1">
    <w:name w:val="ZLB:Ü1"/>
    <w:basedOn w:val="Standard"/>
    <w:rsid w:val="0064633A"/>
    <w:pPr>
      <w:spacing w:before="240" w:after="80"/>
      <w:contextualSpacing/>
    </w:pPr>
    <w:rPr>
      <w:rFonts w:ascii="Arial" w:hAnsi="Arial"/>
      <w:b/>
      <w:color w:val="CC0000"/>
      <w:sz w:val="26"/>
      <w:lang w:val="de-DE" w:eastAsia="de-DE"/>
    </w:rPr>
  </w:style>
  <w:style w:type="paragraph" w:customStyle="1" w:styleId="ZLBAbstract">
    <w:name w:val="ZLB:Abstract"/>
    <w:basedOn w:val="ZLB1"/>
    <w:rsid w:val="0064633A"/>
    <w:pPr>
      <w:shd w:val="clear" w:color="auto" w:fill="EAEAEA"/>
      <w:spacing w:before="0"/>
    </w:pPr>
    <w:rPr>
      <w:b w:val="0"/>
      <w:color w:val="auto"/>
      <w:spacing w:val="24"/>
      <w:sz w:val="22"/>
    </w:rPr>
  </w:style>
  <w:style w:type="paragraph" w:customStyle="1" w:styleId="ZLBTitelInhalt">
    <w:name w:val="ZLB:Titel_Inhalt"/>
    <w:next w:val="Standard"/>
    <w:rsid w:val="0064633A"/>
    <w:pPr>
      <w:spacing w:after="0" w:line="240" w:lineRule="auto"/>
    </w:pPr>
    <w:rPr>
      <w:rFonts w:ascii="Tahoma" w:eastAsia="Times New Roman" w:hAnsi="Tahoma" w:cs="Times New Roman"/>
      <w:b/>
      <w:color w:val="000000"/>
      <w:spacing w:val="40"/>
      <w:sz w:val="24"/>
      <w:szCs w:val="28"/>
      <w:lang w:eastAsia="de-AT"/>
    </w:rPr>
  </w:style>
  <w:style w:type="paragraph" w:customStyle="1" w:styleId="ZLBAbstractInhalt">
    <w:name w:val="ZLB:Abstract_Inhalt"/>
    <w:basedOn w:val="Standard"/>
    <w:next w:val="Standard"/>
    <w:rsid w:val="0064633A"/>
    <w:pPr>
      <w:spacing w:after="80"/>
      <w:contextualSpacing/>
    </w:pPr>
    <w:rPr>
      <w:rFonts w:ascii="Arial" w:hAnsi="Arial"/>
      <w:spacing w:val="24"/>
      <w:sz w:val="22"/>
      <w:lang w:val="de-DE" w:eastAsia="de-DE"/>
    </w:rPr>
  </w:style>
  <w:style w:type="paragraph" w:styleId="StandardWeb">
    <w:name w:val="Normal (Web)"/>
    <w:basedOn w:val="Standard"/>
    <w:uiPriority w:val="99"/>
    <w:unhideWhenUsed/>
    <w:rsid w:val="0064633A"/>
    <w:pPr>
      <w:spacing w:before="100" w:beforeAutospacing="1" w:after="119"/>
    </w:pPr>
  </w:style>
  <w:style w:type="paragraph" w:customStyle="1" w:styleId="ZLBAufzhlung1">
    <w:name w:val="ZLB:Aufzählung1"/>
    <w:next w:val="Standard"/>
    <w:rsid w:val="0064633A"/>
    <w:pPr>
      <w:numPr>
        <w:numId w:val="1"/>
      </w:numPr>
      <w:spacing w:before="80" w:after="80" w:line="240" w:lineRule="auto"/>
      <w:ind w:left="357" w:hanging="357"/>
      <w:contextualSpacing/>
    </w:pPr>
    <w:rPr>
      <w:rFonts w:ascii="Tahoma" w:eastAsia="Times New Roman" w:hAnsi="Tahoma" w:cs="Times New Roman"/>
      <w:szCs w:val="24"/>
      <w:lang w:val="de-DE" w:eastAsia="de-DE"/>
    </w:rPr>
  </w:style>
  <w:style w:type="paragraph" w:customStyle="1" w:styleId="ZLBAufzhlung2">
    <w:name w:val="ZLB:Aufzählung2"/>
    <w:next w:val="Standard"/>
    <w:rsid w:val="0064633A"/>
    <w:pPr>
      <w:numPr>
        <w:numId w:val="2"/>
      </w:numPr>
      <w:tabs>
        <w:tab w:val="clear" w:pos="360"/>
      </w:tabs>
      <w:spacing w:before="80" w:after="80" w:line="240" w:lineRule="auto"/>
      <w:ind w:left="357" w:hanging="357"/>
      <w:contextualSpacing/>
    </w:pPr>
    <w:rPr>
      <w:rFonts w:ascii="Tahoma" w:eastAsia="Times New Roman" w:hAnsi="Tahoma" w:cs="Times New Roman"/>
      <w:szCs w:val="24"/>
      <w:lang w:val="de-DE" w:eastAsia="de-DE"/>
    </w:rPr>
  </w:style>
  <w:style w:type="paragraph" w:customStyle="1" w:styleId="ZLB2">
    <w:name w:val="ZLB:Ü2"/>
    <w:basedOn w:val="ZLB1"/>
    <w:rsid w:val="0064633A"/>
    <w:rPr>
      <w:sz w:val="22"/>
    </w:rPr>
  </w:style>
  <w:style w:type="paragraph" w:customStyle="1" w:styleId="ZLBHinweisPraxistipp-Aufzaehlung">
    <w:name w:val="ZLB:Hinweis_Praxistipp-Aufzaehlung"/>
    <w:basedOn w:val="Standard"/>
    <w:rsid w:val="0064633A"/>
    <w:pPr>
      <w:numPr>
        <w:numId w:val="3"/>
      </w:numPr>
      <w:spacing w:before="80" w:after="80"/>
      <w:contextualSpacing/>
    </w:pPr>
    <w:rPr>
      <w:rFonts w:ascii="Verdana" w:hAnsi="Verdana"/>
      <w:b/>
      <w:color w:val="008000"/>
      <w:spacing w:val="-20"/>
      <w:sz w:val="20"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64633A"/>
    <w:rPr>
      <w:rFonts w:ascii="Tahoma" w:hAnsi="Tahoma"/>
      <w:sz w:val="18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64633A"/>
    <w:rPr>
      <w:rFonts w:ascii="Tahoma" w:eastAsia="Times New Roman" w:hAnsi="Tahoma" w:cs="Times New Roman"/>
      <w:sz w:val="18"/>
      <w:szCs w:val="20"/>
      <w:lang w:val="de-DE" w:eastAsia="de-DE"/>
    </w:rPr>
  </w:style>
  <w:style w:type="character" w:styleId="Funotenzeichen">
    <w:name w:val="footnote reference"/>
    <w:semiHidden/>
    <w:rsid w:val="0064633A"/>
    <w:rPr>
      <w:vertAlign w:val="superscript"/>
    </w:rPr>
  </w:style>
  <w:style w:type="paragraph" w:customStyle="1" w:styleId="ZLBMuster-Aufzhlung1">
    <w:name w:val="ZLB:Muster-Aufzählung1"/>
    <w:basedOn w:val="Standard"/>
    <w:rsid w:val="0064633A"/>
    <w:pPr>
      <w:numPr>
        <w:numId w:val="4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360"/>
        <w:tab w:val="left" w:pos="397"/>
      </w:tabs>
      <w:spacing w:line="260" w:lineRule="exact"/>
      <w:ind w:left="397" w:hanging="397"/>
    </w:pPr>
    <w:rPr>
      <w:rFonts w:ascii="Tahoma" w:hAnsi="Tahoma"/>
      <w:sz w:val="22"/>
      <w:lang w:val="de-DE" w:eastAsia="de-DE"/>
    </w:rPr>
  </w:style>
  <w:style w:type="paragraph" w:customStyle="1" w:styleId="ZLBMuster-Aufzhlung2">
    <w:name w:val="ZLB:Muster-Aufzählung2"/>
    <w:basedOn w:val="Standard"/>
    <w:rsid w:val="0064633A"/>
    <w:pPr>
      <w:numPr>
        <w:numId w:val="5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794"/>
      </w:tabs>
      <w:spacing w:line="260" w:lineRule="exact"/>
    </w:pPr>
    <w:rPr>
      <w:rFonts w:ascii="Tahoma" w:hAnsi="Tahoma"/>
      <w:sz w:val="22"/>
      <w:lang w:val="de-DE" w:eastAsia="de-DE"/>
    </w:rPr>
  </w:style>
  <w:style w:type="character" w:styleId="Hyperlink">
    <w:name w:val="Hyperlink"/>
    <w:basedOn w:val="Absatz-Standardschriftart"/>
    <w:rsid w:val="0064633A"/>
    <w:rPr>
      <w:color w:val="0563C1" w:themeColor="hyperlink"/>
      <w:u w:val="single"/>
    </w:rPr>
  </w:style>
  <w:style w:type="paragraph" w:customStyle="1" w:styleId="ZLBServiceBox-1">
    <w:name w:val="ZLB:Service Box-Ü1"/>
    <w:basedOn w:val="ZLB1"/>
    <w:rsid w:val="0064633A"/>
    <w:pPr>
      <w:pBdr>
        <w:bottom w:val="single" w:sz="4" w:space="1" w:color="auto"/>
      </w:pBdr>
      <w:spacing w:before="40" w:after="40"/>
    </w:pPr>
    <w:rPr>
      <w:sz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9E69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lar.org/recommendations_eular_acr.cf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053D9-E394-4577-AFDD-9A74C20F2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836</Words>
  <Characters>6409</Characters>
  <Application>Microsoft Office Word</Application>
  <DocSecurity>0</DocSecurity>
  <Lines>133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libertaoceanis@gmail.com</dc:creator>
  <cp:keywords/>
  <dc:description/>
  <cp:lastModifiedBy>libertaoceanis@gmail.com</cp:lastModifiedBy>
  <cp:revision>71</cp:revision>
  <dcterms:created xsi:type="dcterms:W3CDTF">2022-10-22T12:46:00Z</dcterms:created>
  <dcterms:modified xsi:type="dcterms:W3CDTF">2022-10-22T15:09:00Z</dcterms:modified>
</cp:coreProperties>
</file>